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750EA" w14:textId="5C2910E4" w:rsidR="00FC0078" w:rsidRPr="006A53D3" w:rsidRDefault="009D6923" w:rsidP="00FC0078">
      <w:pPr>
        <w:jc w:val="center"/>
        <w:rPr>
          <w:rFonts w:ascii="Tahoma" w:hAnsi="Tahoma" w:cs="Tahoma"/>
          <w:b/>
          <w:bCs/>
        </w:rPr>
      </w:pPr>
      <w:r>
        <w:rPr>
          <w:rFonts w:ascii="Tahoma" w:hAnsi="Tahoma" w:cs="Tahoma"/>
          <w:b/>
          <w:bCs/>
        </w:rPr>
        <w:t>Attachment</w:t>
      </w:r>
      <w:r w:rsidR="00FC0078" w:rsidRPr="006A53D3">
        <w:rPr>
          <w:rFonts w:ascii="Tahoma" w:hAnsi="Tahoma" w:cs="Tahoma"/>
          <w:b/>
          <w:bCs/>
        </w:rPr>
        <w:t xml:space="preserve"> </w:t>
      </w:r>
      <w:r w:rsidR="003A7595" w:rsidRPr="006A53D3">
        <w:rPr>
          <w:rFonts w:ascii="Tahoma" w:hAnsi="Tahoma" w:cs="Tahoma"/>
          <w:b/>
          <w:bCs/>
        </w:rPr>
        <w:t>1</w:t>
      </w:r>
      <w:r w:rsidR="00FC0078" w:rsidRPr="006A53D3">
        <w:rPr>
          <w:rFonts w:ascii="Tahoma" w:hAnsi="Tahoma" w:cs="Tahoma"/>
          <w:b/>
          <w:bCs/>
        </w:rPr>
        <w:t xml:space="preserve"> – </w:t>
      </w:r>
      <w:r w:rsidR="00B3693F" w:rsidRPr="006A53D3">
        <w:rPr>
          <w:rFonts w:ascii="Tahoma" w:hAnsi="Tahoma" w:cs="Tahoma"/>
          <w:b/>
          <w:bCs/>
        </w:rPr>
        <w:t>MANDATORY REQUIREMENTS</w:t>
      </w:r>
      <w:r w:rsidR="00310A99" w:rsidRPr="006A53D3">
        <w:rPr>
          <w:rFonts w:ascii="Tahoma" w:hAnsi="Tahoma" w:cs="Tahoma"/>
          <w:b/>
          <w:bCs/>
        </w:rPr>
        <w:t xml:space="preserve"> AFFIRMATION</w:t>
      </w:r>
    </w:p>
    <w:tbl>
      <w:tblPr>
        <w:tblW w:w="14084" w:type="dxa"/>
        <w:jc w:val="center"/>
        <w:tblCellMar>
          <w:left w:w="0" w:type="dxa"/>
          <w:right w:w="0" w:type="dxa"/>
        </w:tblCellMar>
        <w:tblLook w:val="04A0" w:firstRow="1" w:lastRow="0" w:firstColumn="1" w:lastColumn="0" w:noHBand="0" w:noVBand="1"/>
      </w:tblPr>
      <w:tblGrid>
        <w:gridCol w:w="7920"/>
        <w:gridCol w:w="1287"/>
        <w:gridCol w:w="4877"/>
      </w:tblGrid>
      <w:tr w:rsidR="00FC0078" w:rsidRPr="006A53D3" w14:paraId="43926E6D" w14:textId="77777777" w:rsidTr="003133A5">
        <w:trPr>
          <w:trHeight w:val="215"/>
          <w:jc w:val="center"/>
        </w:trPr>
        <w:tc>
          <w:tcPr>
            <w:tcW w:w="14084"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EBEB60A" w14:textId="665CC3F2" w:rsidR="008064F0" w:rsidRDefault="00310A99">
            <w:pPr>
              <w:rPr>
                <w:rFonts w:ascii="Tahoma" w:hAnsi="Tahoma" w:cs="Tahoma"/>
                <w:color w:val="000000"/>
              </w:rPr>
            </w:pPr>
            <w:r w:rsidRPr="006A53D3">
              <w:rPr>
                <w:rFonts w:ascii="Tahoma" w:hAnsi="Tahoma" w:cs="Tahoma"/>
                <w:color w:val="000000"/>
              </w:rPr>
              <w:t xml:space="preserve">Bidders must affirm that they meet the stated Mandatory Requirements (Yes / No Affirmation). In addition, please include Supporting Documentation that evidences Bidder ability to meet the Mandatory Requirements in </w:t>
            </w:r>
            <w:r w:rsidR="00C4561B" w:rsidRPr="006A53D3">
              <w:rPr>
                <w:rFonts w:ascii="Tahoma" w:hAnsi="Tahoma" w:cs="Tahoma"/>
                <w:color w:val="000000"/>
              </w:rPr>
              <w:t xml:space="preserve">the </w:t>
            </w:r>
            <w:r w:rsidRPr="006A53D3">
              <w:rPr>
                <w:rFonts w:ascii="Tahoma" w:hAnsi="Tahoma" w:cs="Tahoma"/>
                <w:color w:val="000000"/>
              </w:rPr>
              <w:t xml:space="preserve">table directly or below table.  </w:t>
            </w:r>
          </w:p>
          <w:p w14:paraId="621784E3" w14:textId="73048EBF" w:rsidR="002B7A6B" w:rsidRPr="002B7A6B" w:rsidRDefault="002B7A6B">
            <w:pPr>
              <w:rPr>
                <w:rFonts w:ascii="Tahoma" w:hAnsi="Tahoma" w:cs="Tahoma"/>
              </w:rPr>
            </w:pPr>
            <w:r>
              <w:rPr>
                <w:rFonts w:ascii="Tahoma" w:hAnsi="Tahoma" w:cs="Tahoma"/>
                <w:b/>
                <w:bCs/>
                <w:color w:val="000000" w:themeColor="text1"/>
              </w:rPr>
              <w:t xml:space="preserve">PLEASE SPECIFY ASSET CLASS:  </w:t>
            </w:r>
            <w:sdt>
              <w:sdtPr>
                <w:rPr>
                  <w:rFonts w:ascii="Tahoma" w:hAnsi="Tahoma" w:cs="Tahoma"/>
                  <w:b/>
                  <w:bCs/>
                  <w:color w:val="000000" w:themeColor="text1"/>
                  <w:sz w:val="30"/>
                  <w:szCs w:val="30"/>
                </w:rPr>
                <w:id w:val="2124888536"/>
                <w14:checkbox>
                  <w14:checked w14:val="0"/>
                  <w14:checkedState w14:val="2612" w14:font="MS Gothic"/>
                  <w14:uncheckedState w14:val="2610" w14:font="MS Gothic"/>
                </w14:checkbox>
              </w:sdtPr>
              <w:sdtEndPr/>
              <w:sdtContent>
                <w:r>
                  <w:rPr>
                    <w:rFonts w:ascii="MS Gothic" w:eastAsia="MS Gothic" w:hAnsi="MS Gothic" w:cs="Tahoma" w:hint="eastAsia"/>
                    <w:b/>
                    <w:bCs/>
                    <w:color w:val="000000" w:themeColor="text1"/>
                    <w:sz w:val="30"/>
                    <w:szCs w:val="30"/>
                  </w:rPr>
                  <w:t>☐</w:t>
                </w:r>
              </w:sdtContent>
            </w:sdt>
            <w:r>
              <w:rPr>
                <w:rFonts w:ascii="Tahoma" w:hAnsi="Tahoma" w:cs="Tahoma"/>
                <w:b/>
                <w:bCs/>
                <w:color w:val="000000" w:themeColor="text1"/>
              </w:rPr>
              <w:t xml:space="preserve">  US PUBLIC EQUITY    or   </w:t>
            </w:r>
            <w:sdt>
              <w:sdtPr>
                <w:rPr>
                  <w:rFonts w:ascii="Tahoma" w:hAnsi="Tahoma" w:cs="Tahoma"/>
                  <w:b/>
                  <w:bCs/>
                  <w:color w:val="000000" w:themeColor="text1"/>
                  <w:sz w:val="30"/>
                  <w:szCs w:val="30"/>
                </w:rPr>
                <w:id w:val="1481493928"/>
                <w14:checkbox>
                  <w14:checked w14:val="0"/>
                  <w14:checkedState w14:val="2612" w14:font="MS Gothic"/>
                  <w14:uncheckedState w14:val="2610" w14:font="MS Gothic"/>
                </w14:checkbox>
              </w:sdtPr>
              <w:sdtEndPr/>
              <w:sdtContent>
                <w:r>
                  <w:rPr>
                    <w:rFonts w:ascii="MS Gothic" w:eastAsia="MS Gothic" w:hAnsi="MS Gothic" w:cs="Tahoma" w:hint="eastAsia"/>
                    <w:b/>
                    <w:bCs/>
                    <w:color w:val="000000" w:themeColor="text1"/>
                    <w:sz w:val="30"/>
                    <w:szCs w:val="30"/>
                  </w:rPr>
                  <w:t>☐</w:t>
                </w:r>
              </w:sdtContent>
            </w:sdt>
            <w:r>
              <w:rPr>
                <w:rFonts w:ascii="Tahoma" w:hAnsi="Tahoma" w:cs="Tahoma"/>
                <w:b/>
                <w:bCs/>
                <w:color w:val="000000" w:themeColor="text1"/>
              </w:rPr>
              <w:t xml:space="preserve"> FIXED INCOME </w:t>
            </w:r>
          </w:p>
          <w:p w14:paraId="64CB56BE" w14:textId="7DF62726" w:rsidR="002B7A6B" w:rsidRPr="002B7A6B" w:rsidRDefault="002B7A6B" w:rsidP="002B7A6B">
            <w:pPr>
              <w:spacing w:after="200"/>
              <w:ind w:right="14"/>
              <w:rPr>
                <w:rFonts w:ascii="Tahoma" w:hAnsi="Tahoma" w:cs="Tahoma"/>
              </w:rPr>
            </w:pPr>
            <w:r>
              <w:rPr>
                <w:rFonts w:ascii="Tahoma" w:hAnsi="Tahoma" w:cs="Tahoma"/>
              </w:rPr>
              <w:t>Firms must specify which asset classes they are bidding on and submit Attachment 1, Mandatory Requirements for each asset class. If your firm is choosing to submit proposals for both asset classes, your firm must submit two separate Attachment 1,</w:t>
            </w:r>
            <w:r w:rsidRPr="00DA4D27">
              <w:rPr>
                <w:rFonts w:ascii="Tahoma" w:hAnsi="Tahoma" w:cs="Tahoma"/>
              </w:rPr>
              <w:t xml:space="preserve"> </w:t>
            </w:r>
            <w:r>
              <w:rPr>
                <w:rFonts w:ascii="Tahoma" w:hAnsi="Tahoma" w:cs="Tahoma"/>
              </w:rPr>
              <w:t>Mandatory Requirements.</w:t>
            </w:r>
          </w:p>
          <w:p w14:paraId="4D40A1F7" w14:textId="633E0E7D" w:rsidR="008064F0" w:rsidRPr="006A53D3" w:rsidRDefault="008064F0">
            <w:pPr>
              <w:rPr>
                <w:rFonts w:ascii="Tahoma" w:hAnsi="Tahoma" w:cs="Tahoma"/>
                <w:color w:val="000000"/>
              </w:rPr>
            </w:pPr>
          </w:p>
        </w:tc>
      </w:tr>
      <w:tr w:rsidR="00FC0078" w:rsidRPr="006A53D3" w14:paraId="54FFEEAD" w14:textId="77777777" w:rsidTr="003133A5">
        <w:trPr>
          <w:trHeight w:val="215"/>
          <w:jc w:val="center"/>
        </w:trPr>
        <w:tc>
          <w:tcPr>
            <w:tcW w:w="7920" w:type="dxa"/>
            <w:tcBorders>
              <w:top w:val="nil"/>
              <w:left w:val="nil"/>
              <w:bottom w:val="nil"/>
              <w:right w:val="nil"/>
            </w:tcBorders>
            <w:shd w:val="clear" w:color="auto" w:fill="auto"/>
            <w:noWrap/>
            <w:tcMar>
              <w:top w:w="15" w:type="dxa"/>
              <w:left w:w="15" w:type="dxa"/>
              <w:bottom w:w="0" w:type="dxa"/>
              <w:right w:w="15" w:type="dxa"/>
            </w:tcMar>
            <w:vAlign w:val="bottom"/>
            <w:hideMark/>
          </w:tcPr>
          <w:p w14:paraId="63A32270" w14:textId="77777777" w:rsidR="00FC0078" w:rsidRPr="006A53D3" w:rsidRDefault="00FC0078">
            <w:pPr>
              <w:rPr>
                <w:rFonts w:ascii="Tahoma" w:hAnsi="Tahoma" w:cs="Tahoma"/>
                <w:color w:val="000000"/>
              </w:rPr>
            </w:pPr>
          </w:p>
        </w:tc>
        <w:tc>
          <w:tcPr>
            <w:tcW w:w="1287" w:type="dxa"/>
            <w:tcBorders>
              <w:top w:val="nil"/>
              <w:left w:val="nil"/>
              <w:bottom w:val="nil"/>
              <w:right w:val="nil"/>
            </w:tcBorders>
            <w:shd w:val="clear" w:color="auto" w:fill="auto"/>
            <w:noWrap/>
            <w:tcMar>
              <w:top w:w="15" w:type="dxa"/>
              <w:left w:w="15" w:type="dxa"/>
              <w:bottom w:w="0" w:type="dxa"/>
              <w:right w:w="15" w:type="dxa"/>
            </w:tcMar>
            <w:vAlign w:val="center"/>
            <w:hideMark/>
          </w:tcPr>
          <w:p w14:paraId="046D1089" w14:textId="77777777" w:rsidR="00FC0078" w:rsidRPr="006A53D3" w:rsidRDefault="00FC0078">
            <w:pPr>
              <w:rPr>
                <w:rFonts w:ascii="Tahoma" w:hAnsi="Tahoma" w:cs="Tahoma"/>
              </w:rPr>
            </w:pPr>
          </w:p>
        </w:tc>
        <w:tc>
          <w:tcPr>
            <w:tcW w:w="4877" w:type="dxa"/>
            <w:tcBorders>
              <w:top w:val="nil"/>
              <w:left w:val="nil"/>
              <w:bottom w:val="nil"/>
              <w:right w:val="nil"/>
            </w:tcBorders>
            <w:shd w:val="clear" w:color="auto" w:fill="auto"/>
            <w:noWrap/>
            <w:tcMar>
              <w:top w:w="15" w:type="dxa"/>
              <w:left w:w="15" w:type="dxa"/>
              <w:bottom w:w="0" w:type="dxa"/>
              <w:right w:w="15" w:type="dxa"/>
            </w:tcMar>
            <w:vAlign w:val="center"/>
            <w:hideMark/>
          </w:tcPr>
          <w:p w14:paraId="6720162F" w14:textId="77777777" w:rsidR="00FC0078" w:rsidRPr="006A53D3" w:rsidRDefault="00FC0078">
            <w:pPr>
              <w:jc w:val="center"/>
              <w:rPr>
                <w:rFonts w:ascii="Tahoma" w:hAnsi="Tahoma" w:cs="Tahoma"/>
              </w:rPr>
            </w:pPr>
          </w:p>
        </w:tc>
      </w:tr>
      <w:tr w:rsidR="00D16EFF" w:rsidRPr="006A53D3" w14:paraId="4C728A7C" w14:textId="77777777" w:rsidTr="003133A5">
        <w:trPr>
          <w:trHeight w:val="489"/>
          <w:jc w:val="center"/>
        </w:trPr>
        <w:tc>
          <w:tcPr>
            <w:tcW w:w="7920" w:type="dxa"/>
            <w:tcBorders>
              <w:top w:val="single" w:sz="4" w:space="0" w:color="auto"/>
              <w:left w:val="single" w:sz="4" w:space="0" w:color="auto"/>
              <w:bottom w:val="single" w:sz="4" w:space="0" w:color="auto"/>
              <w:right w:val="nil"/>
            </w:tcBorders>
            <w:shd w:val="clear" w:color="000000" w:fill="000000"/>
            <w:tcMar>
              <w:top w:w="15" w:type="dxa"/>
              <w:left w:w="15" w:type="dxa"/>
              <w:bottom w:w="0" w:type="dxa"/>
              <w:right w:w="15" w:type="dxa"/>
            </w:tcMar>
            <w:vAlign w:val="center"/>
            <w:hideMark/>
          </w:tcPr>
          <w:p w14:paraId="7974485F" w14:textId="6B07F00B" w:rsidR="00FC0078" w:rsidRPr="006A53D3" w:rsidRDefault="00FC0078" w:rsidP="0092152C">
            <w:pPr>
              <w:spacing w:after="0"/>
              <w:jc w:val="center"/>
              <w:rPr>
                <w:rFonts w:ascii="Tahoma" w:hAnsi="Tahoma" w:cs="Tahoma"/>
                <w:b/>
                <w:bCs/>
                <w:color w:val="FFFFFF"/>
              </w:rPr>
            </w:pPr>
            <w:bookmarkStart w:id="0" w:name="RANGE!A3:C48"/>
            <w:r w:rsidRPr="006A53D3">
              <w:rPr>
                <w:rFonts w:ascii="Tahoma" w:hAnsi="Tahoma" w:cs="Tahoma"/>
                <w:b/>
                <w:bCs/>
                <w:color w:val="FFFFFF"/>
              </w:rPr>
              <w:t xml:space="preserve">Firm </w:t>
            </w:r>
            <w:bookmarkEnd w:id="0"/>
            <w:r w:rsidR="00B3693F" w:rsidRPr="006A53D3">
              <w:rPr>
                <w:rFonts w:ascii="Tahoma" w:hAnsi="Tahoma" w:cs="Tahoma"/>
                <w:b/>
                <w:bCs/>
                <w:color w:val="FFFFFF"/>
              </w:rPr>
              <w:t>Mandatory Requirements</w:t>
            </w:r>
          </w:p>
        </w:tc>
        <w:tc>
          <w:tcPr>
            <w:tcW w:w="1287" w:type="dxa"/>
            <w:tcBorders>
              <w:top w:val="single" w:sz="4" w:space="0" w:color="auto"/>
              <w:left w:val="single" w:sz="4" w:space="0" w:color="auto"/>
              <w:bottom w:val="single" w:sz="4" w:space="0" w:color="auto"/>
              <w:right w:val="single" w:sz="4" w:space="0" w:color="auto"/>
            </w:tcBorders>
            <w:shd w:val="clear" w:color="000000" w:fill="000000"/>
            <w:noWrap/>
            <w:tcMar>
              <w:top w:w="15" w:type="dxa"/>
              <w:left w:w="15" w:type="dxa"/>
              <w:bottom w:w="0" w:type="dxa"/>
              <w:right w:w="15" w:type="dxa"/>
            </w:tcMar>
            <w:vAlign w:val="center"/>
            <w:hideMark/>
          </w:tcPr>
          <w:p w14:paraId="7D09696E" w14:textId="77777777" w:rsidR="00FC0078" w:rsidRPr="006A53D3" w:rsidRDefault="00FC0078" w:rsidP="0092152C">
            <w:pPr>
              <w:spacing w:after="0"/>
              <w:jc w:val="center"/>
              <w:rPr>
                <w:rFonts w:ascii="Tahoma" w:hAnsi="Tahoma" w:cs="Tahoma"/>
                <w:b/>
                <w:bCs/>
                <w:color w:val="FFFFFF"/>
              </w:rPr>
            </w:pPr>
            <w:r w:rsidRPr="006A53D3">
              <w:rPr>
                <w:rFonts w:ascii="Tahoma" w:hAnsi="Tahoma" w:cs="Tahoma"/>
                <w:b/>
                <w:bCs/>
                <w:color w:val="FFFFFF"/>
              </w:rPr>
              <w:t>Affirmation</w:t>
            </w:r>
          </w:p>
        </w:tc>
        <w:tc>
          <w:tcPr>
            <w:tcW w:w="4877" w:type="dxa"/>
            <w:tcBorders>
              <w:top w:val="single" w:sz="4" w:space="0" w:color="auto"/>
              <w:left w:val="nil"/>
              <w:bottom w:val="single" w:sz="4" w:space="0" w:color="auto"/>
              <w:right w:val="single" w:sz="4" w:space="0" w:color="auto"/>
            </w:tcBorders>
            <w:shd w:val="clear" w:color="000000" w:fill="000000"/>
            <w:tcMar>
              <w:top w:w="15" w:type="dxa"/>
              <w:left w:w="15" w:type="dxa"/>
              <w:bottom w:w="0" w:type="dxa"/>
              <w:right w:w="15" w:type="dxa"/>
            </w:tcMar>
            <w:vAlign w:val="center"/>
            <w:hideMark/>
          </w:tcPr>
          <w:p w14:paraId="6D1EAA27" w14:textId="77777777" w:rsidR="00FC0078" w:rsidRPr="006A53D3" w:rsidRDefault="00FC0078" w:rsidP="0092152C">
            <w:pPr>
              <w:spacing w:after="0"/>
              <w:jc w:val="center"/>
              <w:rPr>
                <w:rFonts w:ascii="Tahoma" w:hAnsi="Tahoma" w:cs="Tahoma"/>
                <w:b/>
                <w:bCs/>
                <w:color w:val="FFFFFF"/>
              </w:rPr>
            </w:pPr>
            <w:r w:rsidRPr="006A53D3">
              <w:rPr>
                <w:rFonts w:ascii="Tahoma" w:hAnsi="Tahoma" w:cs="Tahoma"/>
                <w:b/>
                <w:bCs/>
                <w:color w:val="FFFFFF"/>
              </w:rPr>
              <w:t>Supporting Documentation</w:t>
            </w:r>
          </w:p>
        </w:tc>
      </w:tr>
      <w:tr w:rsidR="00D16EFF" w:rsidRPr="006A53D3" w14:paraId="0F7A853C" w14:textId="77777777" w:rsidTr="003133A5">
        <w:trPr>
          <w:trHeight w:val="244"/>
          <w:jc w:val="center"/>
        </w:trPr>
        <w:tc>
          <w:tcPr>
            <w:tcW w:w="7920" w:type="dxa"/>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61379BAD" w14:textId="77777777" w:rsidR="00FC0078" w:rsidRPr="006A53D3" w:rsidRDefault="00FC0078" w:rsidP="00FC0078">
            <w:pPr>
              <w:jc w:val="center"/>
              <w:rPr>
                <w:rFonts w:ascii="Tahoma" w:hAnsi="Tahoma" w:cs="Tahoma"/>
                <w:b/>
                <w:bCs/>
                <w:color w:val="000000"/>
              </w:rPr>
            </w:pPr>
          </w:p>
        </w:tc>
        <w:tc>
          <w:tcPr>
            <w:tcW w:w="1287"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2D5C1384" w14:textId="77777777" w:rsidR="00FC0078" w:rsidRPr="006A53D3" w:rsidRDefault="00FC0078" w:rsidP="000137F3">
            <w:pPr>
              <w:spacing w:after="0" w:line="240" w:lineRule="auto"/>
              <w:contextualSpacing/>
              <w:jc w:val="center"/>
              <w:rPr>
                <w:rFonts w:ascii="Tahoma" w:hAnsi="Tahoma" w:cs="Tahoma"/>
                <w:b/>
                <w:bCs/>
                <w:color w:val="000000"/>
              </w:rPr>
            </w:pPr>
            <w:r w:rsidRPr="006A53D3">
              <w:rPr>
                <w:rFonts w:ascii="Tahoma" w:hAnsi="Tahoma" w:cs="Tahoma"/>
                <w:b/>
                <w:bCs/>
                <w:color w:val="000000"/>
              </w:rPr>
              <w:t>Yes / No</w:t>
            </w:r>
          </w:p>
        </w:tc>
        <w:tc>
          <w:tcPr>
            <w:tcW w:w="4877"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4065765C" w14:textId="58D96F42" w:rsidR="00FC0078" w:rsidRPr="006A53D3" w:rsidRDefault="00FC0078" w:rsidP="000137F3">
            <w:pPr>
              <w:spacing w:after="0" w:line="240" w:lineRule="auto"/>
              <w:contextualSpacing/>
              <w:jc w:val="center"/>
              <w:rPr>
                <w:rFonts w:ascii="Tahoma" w:hAnsi="Tahoma" w:cs="Tahoma"/>
                <w:b/>
                <w:bCs/>
                <w:color w:val="000000"/>
              </w:rPr>
            </w:pPr>
            <w:r w:rsidRPr="006A53D3">
              <w:rPr>
                <w:rFonts w:ascii="Tahoma" w:hAnsi="Tahoma" w:cs="Tahoma"/>
                <w:b/>
                <w:bCs/>
                <w:color w:val="000000"/>
              </w:rPr>
              <w:t xml:space="preserve">Please </w:t>
            </w:r>
            <w:r w:rsidR="0063780A" w:rsidRPr="006A53D3">
              <w:rPr>
                <w:rFonts w:ascii="Tahoma" w:hAnsi="Tahoma" w:cs="Tahoma"/>
                <w:b/>
                <w:bCs/>
                <w:color w:val="000000"/>
              </w:rPr>
              <w:t>d</w:t>
            </w:r>
            <w:r w:rsidRPr="006A53D3">
              <w:rPr>
                <w:rFonts w:ascii="Tahoma" w:hAnsi="Tahoma" w:cs="Tahoma"/>
                <w:b/>
                <w:bCs/>
                <w:color w:val="000000"/>
              </w:rPr>
              <w:t xml:space="preserve">etail </w:t>
            </w:r>
            <w:r w:rsidR="0063780A" w:rsidRPr="006A53D3">
              <w:rPr>
                <w:rFonts w:ascii="Tahoma" w:hAnsi="Tahoma" w:cs="Tahoma"/>
                <w:b/>
                <w:bCs/>
                <w:color w:val="000000"/>
              </w:rPr>
              <w:t>how the qualification is met</w:t>
            </w:r>
          </w:p>
        </w:tc>
      </w:tr>
      <w:tr w:rsidR="00FC0078" w:rsidRPr="006A53D3" w14:paraId="03036DB0" w14:textId="77777777" w:rsidTr="003133A5">
        <w:trPr>
          <w:trHeight w:val="230"/>
          <w:jc w:val="center"/>
        </w:trPr>
        <w:tc>
          <w:tcPr>
            <w:tcW w:w="1408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6A561228" w14:textId="77777777" w:rsidR="00FC0078" w:rsidRPr="006A53D3" w:rsidRDefault="00FC0078">
            <w:pPr>
              <w:rPr>
                <w:rFonts w:ascii="Tahoma" w:hAnsi="Tahoma" w:cs="Tahoma"/>
                <w:color w:val="000000"/>
              </w:rPr>
            </w:pPr>
            <w:r w:rsidRPr="006A53D3">
              <w:rPr>
                <w:rFonts w:ascii="Tahoma" w:hAnsi="Tahoma" w:cs="Tahoma"/>
                <w:color w:val="000000"/>
              </w:rPr>
              <w:t>Qualification 1</w:t>
            </w:r>
          </w:p>
        </w:tc>
      </w:tr>
      <w:tr w:rsidR="00FC0078" w:rsidRPr="006A53D3" w14:paraId="425D586C" w14:textId="77777777" w:rsidTr="00747024">
        <w:trPr>
          <w:trHeight w:val="388"/>
          <w:jc w:val="center"/>
        </w:trPr>
        <w:tc>
          <w:tcPr>
            <w:tcW w:w="792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14:paraId="7630B74E" w14:textId="27ECCD08" w:rsidR="00FC0078" w:rsidRDefault="003133A5" w:rsidP="00D603FF">
            <w:pPr>
              <w:pStyle w:val="A"/>
              <w:tabs>
                <w:tab w:val="clear" w:pos="540"/>
                <w:tab w:val="left" w:pos="720"/>
                <w:tab w:val="num" w:pos="1080"/>
              </w:tabs>
              <w:spacing w:after="240"/>
              <w:ind w:right="72"/>
              <w:rPr>
                <w:rFonts w:ascii="Tahoma" w:hAnsi="Tahoma" w:cs="Tahoma"/>
                <w:b w:val="0"/>
                <w:caps w:val="0"/>
                <w:sz w:val="22"/>
                <w:szCs w:val="22"/>
              </w:rPr>
            </w:pPr>
            <w:r>
              <w:rPr>
                <w:rFonts w:ascii="Tahoma" w:hAnsi="Tahoma" w:cs="Tahoma"/>
                <w:b w:val="0"/>
                <w:caps w:val="0"/>
                <w:sz w:val="22"/>
                <w:szCs w:val="22"/>
              </w:rPr>
              <w:t xml:space="preserve">Bidder must have at least five years of continuous experience offering dedicated transition management services for institutional clients and must have successfully transitioned at least $5 billion in public market assets over the last 12 months. Bidder must clearly affirm in their proposal they meet this mandatory requirement. </w:t>
            </w:r>
          </w:p>
          <w:p w14:paraId="3593B4A8" w14:textId="717E3163" w:rsidR="00D603FF" w:rsidRPr="00745D3E" w:rsidRDefault="00D603FF" w:rsidP="00D603FF">
            <w:pPr>
              <w:pStyle w:val="A"/>
              <w:tabs>
                <w:tab w:val="clear" w:pos="540"/>
                <w:tab w:val="left" w:pos="720"/>
                <w:tab w:val="num" w:pos="1080"/>
              </w:tabs>
              <w:spacing w:after="240"/>
              <w:ind w:right="72"/>
              <w:rPr>
                <w:rFonts w:ascii="Tahoma" w:hAnsi="Tahoma" w:cs="Tahoma"/>
              </w:rPr>
            </w:pPr>
          </w:p>
        </w:tc>
        <w:tc>
          <w:tcPr>
            <w:tcW w:w="128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661F4"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8C515"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70BE2CE0" w14:textId="20D0CBB3" w:rsidTr="00747024">
        <w:trPr>
          <w:trHeight w:val="230"/>
          <w:jc w:val="center"/>
        </w:trPr>
        <w:tc>
          <w:tcPr>
            <w:tcW w:w="1408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tcPr>
          <w:p w14:paraId="1215FE01" w14:textId="0930664A" w:rsidR="00FC0078" w:rsidRPr="006A53D3" w:rsidRDefault="00FC0078">
            <w:pPr>
              <w:rPr>
                <w:rFonts w:ascii="Tahoma" w:hAnsi="Tahoma" w:cs="Tahoma"/>
                <w:color w:val="000000"/>
              </w:rPr>
            </w:pPr>
            <w:r w:rsidRPr="006A53D3">
              <w:rPr>
                <w:rFonts w:ascii="Tahoma" w:hAnsi="Tahoma" w:cs="Tahoma"/>
                <w:color w:val="000000"/>
              </w:rPr>
              <w:t>Qualification 2</w:t>
            </w:r>
          </w:p>
        </w:tc>
      </w:tr>
      <w:tr w:rsidR="00FC0078" w:rsidRPr="006A53D3" w14:paraId="3A0E306E" w14:textId="3C9DA6FD" w:rsidTr="00747024">
        <w:trPr>
          <w:trHeight w:val="194"/>
          <w:jc w:val="center"/>
        </w:trPr>
        <w:tc>
          <w:tcPr>
            <w:tcW w:w="7920" w:type="dxa"/>
            <w:vMerge w:val="restart"/>
            <w:tcBorders>
              <w:top w:val="single" w:sz="4" w:space="0" w:color="auto"/>
              <w:left w:val="single" w:sz="4" w:space="0" w:color="auto"/>
              <w:bottom w:val="nil"/>
              <w:right w:val="nil"/>
            </w:tcBorders>
            <w:shd w:val="clear" w:color="auto" w:fill="auto"/>
            <w:tcMar>
              <w:top w:w="15" w:type="dxa"/>
              <w:left w:w="15" w:type="dxa"/>
              <w:bottom w:w="0" w:type="dxa"/>
              <w:right w:w="15" w:type="dxa"/>
            </w:tcMar>
          </w:tcPr>
          <w:p w14:paraId="4ACC7646" w14:textId="49413832" w:rsidR="00311214" w:rsidRPr="00311214" w:rsidRDefault="003133A5" w:rsidP="00311214">
            <w:pPr>
              <w:rPr>
                <w:rFonts w:ascii="Tahoma" w:hAnsi="Tahoma" w:cs="Tahoma"/>
              </w:rPr>
            </w:pPr>
            <w:r>
              <w:rPr>
                <w:rFonts w:ascii="Tahoma" w:hAnsi="Tahoma" w:cs="Tahoma"/>
                <w:color w:val="000000"/>
              </w:rPr>
              <w:t xml:space="preserve">The selected provider(s) will be required to </w:t>
            </w:r>
            <w:proofErr w:type="gramStart"/>
            <w:r>
              <w:rPr>
                <w:rFonts w:ascii="Tahoma" w:hAnsi="Tahoma" w:cs="Tahoma"/>
                <w:color w:val="000000"/>
              </w:rPr>
              <w:t>enter into</w:t>
            </w:r>
            <w:proofErr w:type="gramEnd"/>
            <w:r>
              <w:rPr>
                <w:rFonts w:ascii="Tahoma" w:hAnsi="Tahoma" w:cs="Tahoma"/>
                <w:color w:val="000000"/>
              </w:rPr>
              <w:t xml:space="preserve"> a contract set forth by NYSIF and to act as a fiduciary to NYSIF. </w:t>
            </w:r>
          </w:p>
        </w:tc>
        <w:tc>
          <w:tcPr>
            <w:tcW w:w="1287"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0E240A9" w14:textId="19BC6322"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tcPr>
          <w:p w14:paraId="22D75615" w14:textId="6B33C872" w:rsidR="00FC0078" w:rsidRPr="006A53D3" w:rsidRDefault="00FC0078">
            <w:pPr>
              <w:rPr>
                <w:rFonts w:ascii="Tahoma" w:hAnsi="Tahoma" w:cs="Tahoma"/>
                <w:color w:val="006100"/>
              </w:rPr>
            </w:pPr>
            <w:r w:rsidRPr="006A53D3">
              <w:rPr>
                <w:rFonts w:ascii="Tahoma" w:hAnsi="Tahoma" w:cs="Tahoma"/>
                <w:color w:val="006100"/>
              </w:rPr>
              <w:t> </w:t>
            </w:r>
          </w:p>
        </w:tc>
      </w:tr>
      <w:tr w:rsidR="00FC0078" w:rsidRPr="006A53D3" w14:paraId="6A5D6376" w14:textId="18B4ED75" w:rsidTr="003133A5">
        <w:trPr>
          <w:trHeight w:val="564"/>
          <w:jc w:val="center"/>
        </w:trPr>
        <w:tc>
          <w:tcPr>
            <w:tcW w:w="7920" w:type="dxa"/>
            <w:vMerge/>
            <w:tcBorders>
              <w:top w:val="nil"/>
              <w:left w:val="single" w:sz="4" w:space="0" w:color="auto"/>
              <w:bottom w:val="single" w:sz="4" w:space="0" w:color="auto"/>
              <w:right w:val="nil"/>
            </w:tcBorders>
            <w:vAlign w:val="center"/>
          </w:tcPr>
          <w:p w14:paraId="4D64CCC5" w14:textId="071C0F35" w:rsidR="00FC0078" w:rsidRPr="006A53D3" w:rsidRDefault="00FC0078">
            <w:pPr>
              <w:rPr>
                <w:rFonts w:ascii="Tahoma" w:hAnsi="Tahoma" w:cs="Tahoma"/>
                <w:color w:val="000000"/>
              </w:rPr>
            </w:pPr>
          </w:p>
        </w:tc>
        <w:tc>
          <w:tcPr>
            <w:tcW w:w="1287" w:type="dxa"/>
            <w:vMerge/>
            <w:tcBorders>
              <w:top w:val="nil"/>
              <w:left w:val="single" w:sz="4" w:space="0" w:color="auto"/>
              <w:bottom w:val="single" w:sz="4" w:space="0" w:color="auto"/>
              <w:right w:val="single" w:sz="4" w:space="0" w:color="auto"/>
            </w:tcBorders>
            <w:vAlign w:val="center"/>
            <w:hideMark/>
          </w:tcPr>
          <w:p w14:paraId="2F106F1E" w14:textId="5A8008D1" w:rsidR="00FC0078" w:rsidRPr="006A53D3" w:rsidRDefault="00FC0078">
            <w:pPr>
              <w:rPr>
                <w:rFonts w:ascii="Tahoma" w:hAnsi="Tahoma" w:cs="Tahoma"/>
                <w:color w:val="006100"/>
              </w:rPr>
            </w:pPr>
          </w:p>
        </w:tc>
        <w:tc>
          <w:tcPr>
            <w:tcW w:w="48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83ABAA" w14:textId="7CDF2C57" w:rsidR="00FC0078" w:rsidRPr="006A53D3" w:rsidRDefault="00FC0078">
            <w:pPr>
              <w:rPr>
                <w:rFonts w:ascii="Tahoma" w:hAnsi="Tahoma" w:cs="Tahoma"/>
                <w:color w:val="006100"/>
              </w:rPr>
            </w:pPr>
            <w:r w:rsidRPr="006A53D3">
              <w:rPr>
                <w:rFonts w:ascii="Tahoma" w:hAnsi="Tahoma" w:cs="Tahoma"/>
                <w:color w:val="006100"/>
              </w:rPr>
              <w:t> </w:t>
            </w:r>
          </w:p>
        </w:tc>
      </w:tr>
    </w:tbl>
    <w:p w14:paraId="29834A29" w14:textId="77777777" w:rsidR="007B7A1C" w:rsidRPr="003A7595" w:rsidRDefault="007B7A1C" w:rsidP="00FA02E2">
      <w:pPr>
        <w:rPr>
          <w:rFonts w:ascii="Tahoma" w:hAnsi="Tahoma" w:cs="Tahoma"/>
        </w:rPr>
      </w:pPr>
    </w:p>
    <w:sectPr w:rsidR="007B7A1C" w:rsidRPr="003A7595" w:rsidSect="00105831">
      <w:footerReference w:type="default" r:id="rId11"/>
      <w:pgSz w:w="15840" w:h="12240" w:orient="landscape"/>
      <w:pgMar w:top="360"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E1867" w14:textId="77777777" w:rsidR="00890F3F" w:rsidRDefault="00890F3F" w:rsidP="003A7595">
      <w:pPr>
        <w:spacing w:after="0" w:line="240" w:lineRule="auto"/>
      </w:pPr>
      <w:r>
        <w:separator/>
      </w:r>
    </w:p>
  </w:endnote>
  <w:endnote w:type="continuationSeparator" w:id="0">
    <w:p w14:paraId="38199433" w14:textId="77777777" w:rsidR="00890F3F" w:rsidRDefault="00890F3F" w:rsidP="003A7595">
      <w:pPr>
        <w:spacing w:after="0" w:line="240" w:lineRule="auto"/>
      </w:pPr>
      <w:r>
        <w:continuationSeparator/>
      </w:r>
    </w:p>
  </w:endnote>
  <w:endnote w:type="continuationNotice" w:id="1">
    <w:p w14:paraId="58320F74" w14:textId="77777777" w:rsidR="00890F3F" w:rsidRDefault="00890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768540"/>
      <w:docPartObj>
        <w:docPartGallery w:val="Page Numbers (Bottom of Page)"/>
        <w:docPartUnique/>
      </w:docPartObj>
    </w:sdtPr>
    <w:sdtEndPr/>
    <w:sdtContent>
      <w:sdt>
        <w:sdtPr>
          <w:id w:val="1728636285"/>
          <w:docPartObj>
            <w:docPartGallery w:val="Page Numbers (Top of Page)"/>
            <w:docPartUnique/>
          </w:docPartObj>
        </w:sdtPr>
        <w:sdtEndPr/>
        <w:sdtContent>
          <w:p w14:paraId="31CBEECD" w14:textId="2C472CE8" w:rsidR="006A53D3" w:rsidRDefault="006A53D3">
            <w:pPr>
              <w:pStyle w:val="Footer"/>
              <w:jc w:val="center"/>
            </w:pPr>
            <w:r w:rsidRPr="006A53D3">
              <w:rPr>
                <w:rFonts w:ascii="Tahoma" w:hAnsi="Tahoma" w:cs="Tahoma"/>
              </w:rPr>
              <w:t xml:space="preserve">Page </w:t>
            </w:r>
            <w:r w:rsidRPr="006A53D3">
              <w:rPr>
                <w:rFonts w:ascii="Tahoma" w:hAnsi="Tahoma" w:cs="Tahoma"/>
                <w:b/>
                <w:bCs/>
                <w:sz w:val="24"/>
                <w:szCs w:val="24"/>
              </w:rPr>
              <w:fldChar w:fldCharType="begin"/>
            </w:r>
            <w:r w:rsidRPr="006A53D3">
              <w:rPr>
                <w:rFonts w:ascii="Tahoma" w:hAnsi="Tahoma" w:cs="Tahoma"/>
                <w:b/>
                <w:bCs/>
              </w:rPr>
              <w:instrText xml:space="preserve"> PAGE </w:instrText>
            </w:r>
            <w:r w:rsidRPr="006A53D3">
              <w:rPr>
                <w:rFonts w:ascii="Tahoma" w:hAnsi="Tahoma" w:cs="Tahoma"/>
                <w:b/>
                <w:bCs/>
                <w:sz w:val="24"/>
                <w:szCs w:val="24"/>
              </w:rPr>
              <w:fldChar w:fldCharType="separate"/>
            </w:r>
            <w:r w:rsidRPr="006A53D3">
              <w:rPr>
                <w:rFonts w:ascii="Tahoma" w:hAnsi="Tahoma" w:cs="Tahoma"/>
                <w:b/>
                <w:bCs/>
                <w:noProof/>
              </w:rPr>
              <w:t>2</w:t>
            </w:r>
            <w:r w:rsidRPr="006A53D3">
              <w:rPr>
                <w:rFonts w:ascii="Tahoma" w:hAnsi="Tahoma" w:cs="Tahoma"/>
                <w:b/>
                <w:bCs/>
                <w:sz w:val="24"/>
                <w:szCs w:val="24"/>
              </w:rPr>
              <w:fldChar w:fldCharType="end"/>
            </w:r>
            <w:r w:rsidRPr="006A53D3">
              <w:rPr>
                <w:rFonts w:ascii="Tahoma" w:hAnsi="Tahoma" w:cs="Tahoma"/>
              </w:rPr>
              <w:t xml:space="preserve"> of </w:t>
            </w:r>
            <w:r w:rsidRPr="006A53D3">
              <w:rPr>
                <w:rFonts w:ascii="Tahoma" w:hAnsi="Tahoma" w:cs="Tahoma"/>
                <w:b/>
                <w:bCs/>
                <w:sz w:val="24"/>
                <w:szCs w:val="24"/>
              </w:rPr>
              <w:fldChar w:fldCharType="begin"/>
            </w:r>
            <w:r w:rsidRPr="006A53D3">
              <w:rPr>
                <w:rFonts w:ascii="Tahoma" w:hAnsi="Tahoma" w:cs="Tahoma"/>
                <w:b/>
                <w:bCs/>
              </w:rPr>
              <w:instrText xml:space="preserve"> NUMPAGES  </w:instrText>
            </w:r>
            <w:r w:rsidRPr="006A53D3">
              <w:rPr>
                <w:rFonts w:ascii="Tahoma" w:hAnsi="Tahoma" w:cs="Tahoma"/>
                <w:b/>
                <w:bCs/>
                <w:sz w:val="24"/>
                <w:szCs w:val="24"/>
              </w:rPr>
              <w:fldChar w:fldCharType="separate"/>
            </w:r>
            <w:r w:rsidRPr="006A53D3">
              <w:rPr>
                <w:rFonts w:ascii="Tahoma" w:hAnsi="Tahoma" w:cs="Tahoma"/>
                <w:b/>
                <w:bCs/>
                <w:noProof/>
              </w:rPr>
              <w:t>2</w:t>
            </w:r>
            <w:r w:rsidRPr="006A53D3">
              <w:rPr>
                <w:rFonts w:ascii="Tahoma" w:hAnsi="Tahoma" w:cs="Tahoma"/>
                <w:b/>
                <w:bCs/>
                <w:sz w:val="24"/>
                <w:szCs w:val="24"/>
              </w:rPr>
              <w:fldChar w:fldCharType="end"/>
            </w:r>
          </w:p>
        </w:sdtContent>
      </w:sdt>
    </w:sdtContent>
  </w:sdt>
  <w:p w14:paraId="5A7CA7C5" w14:textId="77777777" w:rsidR="003A7595" w:rsidRDefault="003A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268F3" w14:textId="77777777" w:rsidR="00890F3F" w:rsidRDefault="00890F3F" w:rsidP="003A7595">
      <w:pPr>
        <w:spacing w:after="0" w:line="240" w:lineRule="auto"/>
      </w:pPr>
      <w:r>
        <w:separator/>
      </w:r>
    </w:p>
  </w:footnote>
  <w:footnote w:type="continuationSeparator" w:id="0">
    <w:p w14:paraId="00D61D67" w14:textId="77777777" w:rsidR="00890F3F" w:rsidRDefault="00890F3F" w:rsidP="003A7595">
      <w:pPr>
        <w:spacing w:after="0" w:line="240" w:lineRule="auto"/>
      </w:pPr>
      <w:r>
        <w:continuationSeparator/>
      </w:r>
    </w:p>
  </w:footnote>
  <w:footnote w:type="continuationNotice" w:id="1">
    <w:p w14:paraId="00B41976" w14:textId="77777777" w:rsidR="00890F3F" w:rsidRDefault="00890F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F2CE0"/>
    <w:multiLevelType w:val="hybridMultilevel"/>
    <w:tmpl w:val="25347DF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B72C06"/>
    <w:multiLevelType w:val="hybridMultilevel"/>
    <w:tmpl w:val="17FEE002"/>
    <w:lvl w:ilvl="0" w:tplc="86FAC46C">
      <w:start w:val="1"/>
      <w:numFmt w:val="decimal"/>
      <w:lvlText w:val="%1."/>
      <w:lvlJc w:val="left"/>
      <w:pPr>
        <w:tabs>
          <w:tab w:val="num" w:pos="1440"/>
        </w:tabs>
        <w:ind w:left="144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44CF0"/>
    <w:multiLevelType w:val="hybridMultilevel"/>
    <w:tmpl w:val="36BE8C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84CBF"/>
    <w:multiLevelType w:val="hybridMultilevel"/>
    <w:tmpl w:val="B35431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30E1"/>
    <w:multiLevelType w:val="hybridMultilevel"/>
    <w:tmpl w:val="D7E4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328564">
    <w:abstractNumId w:val="2"/>
  </w:num>
  <w:num w:numId="2" w16cid:durableId="702828594">
    <w:abstractNumId w:val="1"/>
  </w:num>
  <w:num w:numId="3" w16cid:durableId="1640576522">
    <w:abstractNumId w:val="4"/>
  </w:num>
  <w:num w:numId="4" w16cid:durableId="1480531579">
    <w:abstractNumId w:val="0"/>
  </w:num>
  <w:num w:numId="5" w16cid:durableId="152890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78"/>
    <w:rsid w:val="000137F3"/>
    <w:rsid w:val="00072830"/>
    <w:rsid w:val="000D26A9"/>
    <w:rsid w:val="00105831"/>
    <w:rsid w:val="00186FFA"/>
    <w:rsid w:val="001B1657"/>
    <w:rsid w:val="001B3E07"/>
    <w:rsid w:val="00201DEE"/>
    <w:rsid w:val="00294016"/>
    <w:rsid w:val="002B7A6B"/>
    <w:rsid w:val="00310A99"/>
    <w:rsid w:val="00311214"/>
    <w:rsid w:val="003133A5"/>
    <w:rsid w:val="00316FB7"/>
    <w:rsid w:val="003342FF"/>
    <w:rsid w:val="003A7595"/>
    <w:rsid w:val="003C0D89"/>
    <w:rsid w:val="003C437D"/>
    <w:rsid w:val="003C5031"/>
    <w:rsid w:val="003D6190"/>
    <w:rsid w:val="00400094"/>
    <w:rsid w:val="004018E7"/>
    <w:rsid w:val="00415A6B"/>
    <w:rsid w:val="00455173"/>
    <w:rsid w:val="00457D88"/>
    <w:rsid w:val="00465D40"/>
    <w:rsid w:val="00492026"/>
    <w:rsid w:val="0049771F"/>
    <w:rsid w:val="004A284A"/>
    <w:rsid w:val="004A51D8"/>
    <w:rsid w:val="004C46E7"/>
    <w:rsid w:val="0053295F"/>
    <w:rsid w:val="005534A0"/>
    <w:rsid w:val="005A7C5F"/>
    <w:rsid w:val="006353E0"/>
    <w:rsid w:val="006364B1"/>
    <w:rsid w:val="00636888"/>
    <w:rsid w:val="0063780A"/>
    <w:rsid w:val="00644AD2"/>
    <w:rsid w:val="00665549"/>
    <w:rsid w:val="006673A6"/>
    <w:rsid w:val="00675829"/>
    <w:rsid w:val="006A53D3"/>
    <w:rsid w:val="006B0204"/>
    <w:rsid w:val="006B1424"/>
    <w:rsid w:val="006C6DFE"/>
    <w:rsid w:val="006D4ECB"/>
    <w:rsid w:val="006D6884"/>
    <w:rsid w:val="006E3091"/>
    <w:rsid w:val="00702CE2"/>
    <w:rsid w:val="00704AA6"/>
    <w:rsid w:val="00745D3E"/>
    <w:rsid w:val="00745F18"/>
    <w:rsid w:val="00747024"/>
    <w:rsid w:val="00752991"/>
    <w:rsid w:val="00785918"/>
    <w:rsid w:val="007B7A1C"/>
    <w:rsid w:val="007E5EEC"/>
    <w:rsid w:val="007F11AD"/>
    <w:rsid w:val="007F2668"/>
    <w:rsid w:val="008064F0"/>
    <w:rsid w:val="008161B1"/>
    <w:rsid w:val="0083749E"/>
    <w:rsid w:val="00852A30"/>
    <w:rsid w:val="008560ED"/>
    <w:rsid w:val="00890F3F"/>
    <w:rsid w:val="008B56C5"/>
    <w:rsid w:val="008C0DD5"/>
    <w:rsid w:val="008D304F"/>
    <w:rsid w:val="008E3A6F"/>
    <w:rsid w:val="008E50EA"/>
    <w:rsid w:val="0092152C"/>
    <w:rsid w:val="0092436F"/>
    <w:rsid w:val="00926464"/>
    <w:rsid w:val="009358AE"/>
    <w:rsid w:val="009811A6"/>
    <w:rsid w:val="009950E8"/>
    <w:rsid w:val="00995170"/>
    <w:rsid w:val="009C2110"/>
    <w:rsid w:val="009D0308"/>
    <w:rsid w:val="009D6923"/>
    <w:rsid w:val="00A12EA3"/>
    <w:rsid w:val="00A16B94"/>
    <w:rsid w:val="00A72F9D"/>
    <w:rsid w:val="00A8439C"/>
    <w:rsid w:val="00AB2D96"/>
    <w:rsid w:val="00AC10E2"/>
    <w:rsid w:val="00AC1BDE"/>
    <w:rsid w:val="00B3693F"/>
    <w:rsid w:val="00B44992"/>
    <w:rsid w:val="00B76C5F"/>
    <w:rsid w:val="00B84BAD"/>
    <w:rsid w:val="00B90141"/>
    <w:rsid w:val="00B90AC7"/>
    <w:rsid w:val="00BA765C"/>
    <w:rsid w:val="00BC02C6"/>
    <w:rsid w:val="00BD0BE2"/>
    <w:rsid w:val="00BD0CF5"/>
    <w:rsid w:val="00C10DE3"/>
    <w:rsid w:val="00C230F8"/>
    <w:rsid w:val="00C25B7B"/>
    <w:rsid w:val="00C44960"/>
    <w:rsid w:val="00C4561B"/>
    <w:rsid w:val="00C4601D"/>
    <w:rsid w:val="00C8359C"/>
    <w:rsid w:val="00CB7C7F"/>
    <w:rsid w:val="00CF66E9"/>
    <w:rsid w:val="00D017A1"/>
    <w:rsid w:val="00D02FEE"/>
    <w:rsid w:val="00D16EFF"/>
    <w:rsid w:val="00D26913"/>
    <w:rsid w:val="00D47B0E"/>
    <w:rsid w:val="00D5674A"/>
    <w:rsid w:val="00D603FF"/>
    <w:rsid w:val="00D75AE1"/>
    <w:rsid w:val="00D90481"/>
    <w:rsid w:val="00DB248E"/>
    <w:rsid w:val="00E21D22"/>
    <w:rsid w:val="00E41FE9"/>
    <w:rsid w:val="00E80B41"/>
    <w:rsid w:val="00EB186B"/>
    <w:rsid w:val="00F27881"/>
    <w:rsid w:val="00F3338F"/>
    <w:rsid w:val="00F4587C"/>
    <w:rsid w:val="00F4621C"/>
    <w:rsid w:val="00F50EF9"/>
    <w:rsid w:val="00F8543D"/>
    <w:rsid w:val="00F9470D"/>
    <w:rsid w:val="00FA02E2"/>
    <w:rsid w:val="00FA2875"/>
    <w:rsid w:val="00FC0078"/>
    <w:rsid w:val="00FF4992"/>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0D0D"/>
  <w15:chartTrackingRefBased/>
  <w15:docId w15:val="{EDF370DC-A3E8-49EA-B7FA-A4312412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9E"/>
    <w:rPr>
      <w:rFonts w:ascii="Segoe UI" w:hAnsi="Segoe UI" w:cs="Segoe UI"/>
      <w:sz w:val="18"/>
      <w:szCs w:val="18"/>
    </w:rPr>
  </w:style>
  <w:style w:type="paragraph" w:styleId="Header">
    <w:name w:val="header"/>
    <w:basedOn w:val="Normal"/>
    <w:link w:val="HeaderChar"/>
    <w:uiPriority w:val="99"/>
    <w:unhideWhenUsed/>
    <w:rsid w:val="003A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595"/>
  </w:style>
  <w:style w:type="paragraph" w:styleId="Footer">
    <w:name w:val="footer"/>
    <w:basedOn w:val="Normal"/>
    <w:link w:val="FooterChar"/>
    <w:uiPriority w:val="99"/>
    <w:unhideWhenUsed/>
    <w:rsid w:val="003A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595"/>
  </w:style>
  <w:style w:type="paragraph" w:styleId="NormalWeb">
    <w:name w:val="Normal (Web)"/>
    <w:basedOn w:val="Normal"/>
    <w:uiPriority w:val="99"/>
    <w:unhideWhenUsed/>
    <w:rsid w:val="00F333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4BAD"/>
    <w:pPr>
      <w:ind w:left="720"/>
      <w:contextualSpacing/>
    </w:pPr>
  </w:style>
  <w:style w:type="character" w:styleId="CommentReference">
    <w:name w:val="annotation reference"/>
    <w:basedOn w:val="DefaultParagraphFont"/>
    <w:uiPriority w:val="99"/>
    <w:semiHidden/>
    <w:unhideWhenUsed/>
    <w:rsid w:val="004A284A"/>
    <w:rPr>
      <w:sz w:val="16"/>
      <w:szCs w:val="16"/>
    </w:rPr>
  </w:style>
  <w:style w:type="paragraph" w:styleId="CommentText">
    <w:name w:val="annotation text"/>
    <w:basedOn w:val="Normal"/>
    <w:link w:val="CommentTextChar"/>
    <w:uiPriority w:val="99"/>
    <w:semiHidden/>
    <w:unhideWhenUsed/>
    <w:rsid w:val="004A284A"/>
    <w:pPr>
      <w:spacing w:line="240" w:lineRule="auto"/>
    </w:pPr>
    <w:rPr>
      <w:sz w:val="20"/>
      <w:szCs w:val="20"/>
    </w:rPr>
  </w:style>
  <w:style w:type="character" w:customStyle="1" w:styleId="CommentTextChar">
    <w:name w:val="Comment Text Char"/>
    <w:basedOn w:val="DefaultParagraphFont"/>
    <w:link w:val="CommentText"/>
    <w:uiPriority w:val="99"/>
    <w:semiHidden/>
    <w:rsid w:val="004A284A"/>
    <w:rPr>
      <w:sz w:val="20"/>
      <w:szCs w:val="20"/>
    </w:rPr>
  </w:style>
  <w:style w:type="paragraph" w:styleId="CommentSubject">
    <w:name w:val="annotation subject"/>
    <w:basedOn w:val="CommentText"/>
    <w:next w:val="CommentText"/>
    <w:link w:val="CommentSubjectChar"/>
    <w:uiPriority w:val="99"/>
    <w:semiHidden/>
    <w:unhideWhenUsed/>
    <w:rsid w:val="004A284A"/>
    <w:rPr>
      <w:b/>
      <w:bCs/>
    </w:rPr>
  </w:style>
  <w:style w:type="character" w:customStyle="1" w:styleId="CommentSubjectChar">
    <w:name w:val="Comment Subject Char"/>
    <w:basedOn w:val="CommentTextChar"/>
    <w:link w:val="CommentSubject"/>
    <w:uiPriority w:val="99"/>
    <w:semiHidden/>
    <w:rsid w:val="004A284A"/>
    <w:rPr>
      <w:b/>
      <w:bCs/>
      <w:sz w:val="20"/>
      <w:szCs w:val="20"/>
    </w:rPr>
  </w:style>
  <w:style w:type="paragraph" w:customStyle="1" w:styleId="A">
    <w:name w:val="A"/>
    <w:basedOn w:val="Normal"/>
    <w:link w:val="AChar"/>
    <w:rsid w:val="00745D3E"/>
    <w:pPr>
      <w:tabs>
        <w:tab w:val="left" w:pos="540"/>
        <w:tab w:val="left" w:pos="6300"/>
        <w:tab w:val="left" w:pos="6660"/>
      </w:tabs>
      <w:spacing w:after="0" w:line="240" w:lineRule="auto"/>
      <w:ind w:right="14"/>
    </w:pPr>
    <w:rPr>
      <w:rFonts w:ascii="Helvetica" w:eastAsia="Times New Roman" w:hAnsi="Helvetica" w:cs="Times New Roman"/>
      <w:b/>
      <w:caps/>
      <w:sz w:val="28"/>
      <w:szCs w:val="20"/>
    </w:rPr>
  </w:style>
  <w:style w:type="character" w:customStyle="1" w:styleId="AChar">
    <w:name w:val="A Char"/>
    <w:link w:val="A"/>
    <w:rsid w:val="00745D3E"/>
    <w:rPr>
      <w:rFonts w:ascii="Helvetica" w:eastAsia="Times New Roman" w:hAnsi="Helvetica" w:cs="Times New Roman"/>
      <w:b/>
      <w:caps/>
      <w:sz w:val="28"/>
      <w:szCs w:val="20"/>
    </w:rPr>
  </w:style>
  <w:style w:type="paragraph" w:styleId="Revision">
    <w:name w:val="Revision"/>
    <w:hidden/>
    <w:uiPriority w:val="99"/>
    <w:semiHidden/>
    <w:rsid w:val="002B7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88012">
      <w:bodyDiv w:val="1"/>
      <w:marLeft w:val="0"/>
      <w:marRight w:val="0"/>
      <w:marTop w:val="0"/>
      <w:marBottom w:val="0"/>
      <w:divBdr>
        <w:top w:val="none" w:sz="0" w:space="0" w:color="auto"/>
        <w:left w:val="none" w:sz="0" w:space="0" w:color="auto"/>
        <w:bottom w:val="none" w:sz="0" w:space="0" w:color="auto"/>
        <w:right w:val="none" w:sz="0" w:space="0" w:color="auto"/>
      </w:divBdr>
    </w:div>
    <w:div w:id="1054282166">
      <w:bodyDiv w:val="1"/>
      <w:marLeft w:val="0"/>
      <w:marRight w:val="0"/>
      <w:marTop w:val="0"/>
      <w:marBottom w:val="0"/>
      <w:divBdr>
        <w:top w:val="none" w:sz="0" w:space="0" w:color="auto"/>
        <w:left w:val="none" w:sz="0" w:space="0" w:color="auto"/>
        <w:bottom w:val="none" w:sz="0" w:space="0" w:color="auto"/>
        <w:right w:val="none" w:sz="0" w:space="0" w:color="auto"/>
      </w:divBdr>
      <w:divsChild>
        <w:div w:id="338504215">
          <w:marLeft w:val="0"/>
          <w:marRight w:val="0"/>
          <w:marTop w:val="0"/>
          <w:marBottom w:val="120"/>
          <w:divBdr>
            <w:top w:val="none" w:sz="0" w:space="0" w:color="auto"/>
            <w:left w:val="none" w:sz="0" w:space="0" w:color="auto"/>
            <w:bottom w:val="none" w:sz="0" w:space="0" w:color="auto"/>
            <w:right w:val="none" w:sz="0" w:space="0" w:color="auto"/>
          </w:divBdr>
          <w:divsChild>
            <w:div w:id="376509669">
              <w:marLeft w:val="0"/>
              <w:marRight w:val="0"/>
              <w:marTop w:val="0"/>
              <w:marBottom w:val="0"/>
              <w:divBdr>
                <w:top w:val="none" w:sz="0" w:space="0" w:color="auto"/>
                <w:left w:val="none" w:sz="0" w:space="0" w:color="auto"/>
                <w:bottom w:val="none" w:sz="0" w:space="0" w:color="auto"/>
                <w:right w:val="none" w:sz="0" w:space="0" w:color="auto"/>
              </w:divBdr>
            </w:div>
          </w:divsChild>
        </w:div>
        <w:div w:id="1309016735">
          <w:marLeft w:val="0"/>
          <w:marRight w:val="0"/>
          <w:marTop w:val="0"/>
          <w:marBottom w:val="120"/>
          <w:divBdr>
            <w:top w:val="none" w:sz="0" w:space="0" w:color="auto"/>
            <w:left w:val="none" w:sz="0" w:space="0" w:color="auto"/>
            <w:bottom w:val="none" w:sz="0" w:space="0" w:color="auto"/>
            <w:right w:val="none" w:sz="0" w:space="0" w:color="auto"/>
          </w:divBdr>
          <w:divsChild>
            <w:div w:id="1145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6610">
      <w:bodyDiv w:val="1"/>
      <w:marLeft w:val="0"/>
      <w:marRight w:val="0"/>
      <w:marTop w:val="0"/>
      <w:marBottom w:val="0"/>
      <w:divBdr>
        <w:top w:val="none" w:sz="0" w:space="0" w:color="auto"/>
        <w:left w:val="none" w:sz="0" w:space="0" w:color="auto"/>
        <w:bottom w:val="none" w:sz="0" w:space="0" w:color="auto"/>
        <w:right w:val="none" w:sz="0" w:space="0" w:color="auto"/>
      </w:divBdr>
    </w:div>
    <w:div w:id="1744179492">
      <w:bodyDiv w:val="1"/>
      <w:marLeft w:val="0"/>
      <w:marRight w:val="0"/>
      <w:marTop w:val="0"/>
      <w:marBottom w:val="0"/>
      <w:divBdr>
        <w:top w:val="none" w:sz="0" w:space="0" w:color="auto"/>
        <w:left w:val="none" w:sz="0" w:space="0" w:color="auto"/>
        <w:bottom w:val="none" w:sz="0" w:space="0" w:color="auto"/>
        <w:right w:val="none" w:sz="0" w:space="0" w:color="auto"/>
      </w:divBdr>
    </w:div>
    <w:div w:id="1914657290">
      <w:bodyDiv w:val="1"/>
      <w:marLeft w:val="0"/>
      <w:marRight w:val="0"/>
      <w:marTop w:val="0"/>
      <w:marBottom w:val="0"/>
      <w:divBdr>
        <w:top w:val="none" w:sz="0" w:space="0" w:color="auto"/>
        <w:left w:val="none" w:sz="0" w:space="0" w:color="auto"/>
        <w:bottom w:val="none" w:sz="0" w:space="0" w:color="auto"/>
        <w:right w:val="none" w:sz="0" w:space="0" w:color="auto"/>
      </w:divBdr>
      <w:divsChild>
        <w:div w:id="152444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f9a322fb8e84c3e2ccbffcb80bbdd10e">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0729f474233ad61562f1005f4c79b5a0"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9A06F-FC4F-444E-B805-F568EBA5244D}">
  <ds:schemaRefs>
    <ds:schemaRef ds:uri="http://schemas.microsoft.com/sharepoint/v3/contenttype/forms"/>
  </ds:schemaRefs>
</ds:datastoreItem>
</file>

<file path=customXml/itemProps2.xml><?xml version="1.0" encoding="utf-8"?>
<ds:datastoreItem xmlns:ds="http://schemas.openxmlformats.org/officeDocument/2006/customXml" ds:itemID="{7E7D860C-6ADD-43FC-917C-84E7ACD6C969}">
  <ds:schemaRefs>
    <ds:schemaRef ds:uri="http://schemas.microsoft.com/office/2006/metadata/properties"/>
    <ds:schemaRef ds:uri="http://schemas.microsoft.com/office/infopath/2007/PartnerControls"/>
    <ds:schemaRef ds:uri="a68b35e0-8e82-4bac-a427-a38f15f42f58"/>
    <ds:schemaRef ds:uri="265682cb-5913-4ab7-92f8-47a3fdcbad37"/>
  </ds:schemaRefs>
</ds:datastoreItem>
</file>

<file path=customXml/itemProps3.xml><?xml version="1.0" encoding="utf-8"?>
<ds:datastoreItem xmlns:ds="http://schemas.openxmlformats.org/officeDocument/2006/customXml" ds:itemID="{2DCD6F1D-9711-4B80-BDCB-D8F796F3104B}">
  <ds:schemaRefs>
    <ds:schemaRef ds:uri="http://schemas.openxmlformats.org/officeDocument/2006/bibliography"/>
  </ds:schemaRefs>
</ds:datastoreItem>
</file>

<file path=customXml/itemProps4.xml><?xml version="1.0" encoding="utf-8"?>
<ds:datastoreItem xmlns:ds="http://schemas.openxmlformats.org/officeDocument/2006/customXml" ds:itemID="{F946155B-0301-482A-9898-1E60AC88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1083</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Milci Artiga</dc:creator>
  <cp:keywords/>
  <dc:description/>
  <cp:lastModifiedBy>Alicia Dott Jemmott</cp:lastModifiedBy>
  <cp:revision>3</cp:revision>
  <dcterms:created xsi:type="dcterms:W3CDTF">2024-11-01T18:31:00Z</dcterms:created>
  <dcterms:modified xsi:type="dcterms:W3CDTF">2024-11-01T18:31:00Z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