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50EA" w14:textId="5C2910E4" w:rsidR="00FC0078" w:rsidRPr="006A53D3" w:rsidRDefault="009D6923" w:rsidP="00FC0078">
      <w:pPr>
        <w:jc w:val="center"/>
        <w:rPr>
          <w:rFonts w:ascii="Tahoma" w:hAnsi="Tahoma" w:cs="Tahoma"/>
          <w:b/>
          <w:bCs/>
        </w:rPr>
      </w:pPr>
      <w:r>
        <w:rPr>
          <w:rFonts w:ascii="Tahoma" w:hAnsi="Tahoma" w:cs="Tahoma"/>
          <w:b/>
          <w:bCs/>
        </w:rPr>
        <w:t>Attachment</w:t>
      </w:r>
      <w:r w:rsidR="00FC0078" w:rsidRPr="006A53D3">
        <w:rPr>
          <w:rFonts w:ascii="Tahoma" w:hAnsi="Tahoma" w:cs="Tahoma"/>
          <w:b/>
          <w:bCs/>
        </w:rPr>
        <w:t xml:space="preserve"> </w:t>
      </w:r>
      <w:r w:rsidR="003A7595" w:rsidRPr="006A53D3">
        <w:rPr>
          <w:rFonts w:ascii="Tahoma" w:hAnsi="Tahoma" w:cs="Tahoma"/>
          <w:b/>
          <w:bCs/>
        </w:rPr>
        <w:t>1</w:t>
      </w:r>
      <w:r w:rsidR="00FC0078" w:rsidRPr="006A53D3">
        <w:rPr>
          <w:rFonts w:ascii="Tahoma" w:hAnsi="Tahoma" w:cs="Tahoma"/>
          <w:b/>
          <w:bCs/>
        </w:rPr>
        <w:t xml:space="preserve"> – </w:t>
      </w:r>
      <w:r w:rsidR="00B3693F" w:rsidRPr="006A53D3">
        <w:rPr>
          <w:rFonts w:ascii="Tahoma" w:hAnsi="Tahoma" w:cs="Tahoma"/>
          <w:b/>
          <w:bCs/>
        </w:rPr>
        <w:t>MANDATORY REQUIREMENTS</w:t>
      </w:r>
      <w:r w:rsidR="00310A99" w:rsidRPr="006A53D3">
        <w:rPr>
          <w:rFonts w:ascii="Tahoma" w:hAnsi="Tahoma" w:cs="Tahoma"/>
          <w:b/>
          <w:bCs/>
        </w:rPr>
        <w:t xml:space="preserve"> AFFIRMATION</w:t>
      </w:r>
    </w:p>
    <w:tbl>
      <w:tblPr>
        <w:tblW w:w="13374" w:type="dxa"/>
        <w:jc w:val="center"/>
        <w:tblCellMar>
          <w:left w:w="0" w:type="dxa"/>
          <w:right w:w="0" w:type="dxa"/>
        </w:tblCellMar>
        <w:tblLook w:val="04A0" w:firstRow="1" w:lastRow="0" w:firstColumn="1" w:lastColumn="0" w:noHBand="0" w:noVBand="1"/>
      </w:tblPr>
      <w:tblGrid>
        <w:gridCol w:w="5490"/>
        <w:gridCol w:w="1287"/>
        <w:gridCol w:w="6597"/>
      </w:tblGrid>
      <w:tr w:rsidR="00FC0078" w:rsidRPr="006A53D3" w14:paraId="43926E6D" w14:textId="77777777" w:rsidTr="00702CE2">
        <w:trPr>
          <w:trHeight w:val="225"/>
          <w:jc w:val="center"/>
        </w:trPr>
        <w:tc>
          <w:tcPr>
            <w:tcW w:w="133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EBEB60A" w14:textId="665CC3F2" w:rsidR="008064F0" w:rsidRPr="006A53D3" w:rsidRDefault="00310A99">
            <w:pPr>
              <w:rPr>
                <w:rFonts w:ascii="Tahoma" w:hAnsi="Tahoma" w:cs="Tahoma"/>
                <w:color w:val="000000"/>
              </w:rPr>
            </w:pPr>
            <w:r w:rsidRPr="006A53D3">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w:t>
            </w:r>
            <w:r w:rsidR="00C4561B" w:rsidRPr="006A53D3">
              <w:rPr>
                <w:rFonts w:ascii="Tahoma" w:hAnsi="Tahoma" w:cs="Tahoma"/>
                <w:color w:val="000000"/>
              </w:rPr>
              <w:t xml:space="preserve">the </w:t>
            </w:r>
            <w:r w:rsidRPr="006A53D3">
              <w:rPr>
                <w:rFonts w:ascii="Tahoma" w:hAnsi="Tahoma" w:cs="Tahoma"/>
                <w:color w:val="000000"/>
              </w:rPr>
              <w:t xml:space="preserve">table directly or below table.  </w:t>
            </w:r>
          </w:p>
          <w:p w14:paraId="4D40A1F7" w14:textId="633E0E7D" w:rsidR="008064F0" w:rsidRPr="006A53D3" w:rsidRDefault="008064F0">
            <w:pPr>
              <w:rPr>
                <w:rFonts w:ascii="Tahoma" w:hAnsi="Tahoma" w:cs="Tahoma"/>
                <w:color w:val="000000"/>
              </w:rPr>
            </w:pPr>
          </w:p>
        </w:tc>
      </w:tr>
      <w:tr w:rsidR="00FC0078" w:rsidRPr="006A53D3" w14:paraId="54FFEEAD" w14:textId="77777777" w:rsidTr="00702CE2">
        <w:trPr>
          <w:trHeight w:val="225"/>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6A53D3" w:rsidRDefault="00FC0078">
            <w:pPr>
              <w:rPr>
                <w:rFonts w:ascii="Tahoma" w:hAnsi="Tahoma" w:cs="Tahoma"/>
                <w:color w:val="000000"/>
              </w:rPr>
            </w:pPr>
          </w:p>
        </w:tc>
        <w:tc>
          <w:tcPr>
            <w:tcW w:w="1287"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6A53D3" w:rsidRDefault="00FC0078">
            <w:pPr>
              <w:rPr>
                <w:rFonts w:ascii="Tahoma" w:hAnsi="Tahoma" w:cs="Tahoma"/>
              </w:rPr>
            </w:pPr>
          </w:p>
        </w:tc>
        <w:tc>
          <w:tcPr>
            <w:tcW w:w="6597"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6A53D3" w:rsidRDefault="00FC0078">
            <w:pPr>
              <w:jc w:val="center"/>
              <w:rPr>
                <w:rFonts w:ascii="Tahoma" w:hAnsi="Tahoma" w:cs="Tahoma"/>
              </w:rPr>
            </w:pPr>
          </w:p>
        </w:tc>
      </w:tr>
      <w:tr w:rsidR="00D16EFF" w:rsidRPr="006A53D3" w14:paraId="4C728A7C" w14:textId="77777777" w:rsidTr="00702CE2">
        <w:trPr>
          <w:trHeight w:val="510"/>
          <w:jc w:val="center"/>
        </w:trPr>
        <w:tc>
          <w:tcPr>
            <w:tcW w:w="549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6B07F00B" w:rsidR="00FC0078" w:rsidRPr="006A53D3" w:rsidRDefault="00FC0078" w:rsidP="0092152C">
            <w:pPr>
              <w:spacing w:after="0"/>
              <w:jc w:val="center"/>
              <w:rPr>
                <w:rFonts w:ascii="Tahoma" w:hAnsi="Tahoma" w:cs="Tahoma"/>
                <w:b/>
                <w:bCs/>
                <w:color w:val="FFFFFF"/>
              </w:rPr>
            </w:pPr>
            <w:bookmarkStart w:id="0" w:name="RANGE!A3:C48"/>
            <w:r w:rsidRPr="006A53D3">
              <w:rPr>
                <w:rFonts w:ascii="Tahoma" w:hAnsi="Tahoma" w:cs="Tahoma"/>
                <w:b/>
                <w:bCs/>
                <w:color w:val="FFFFFF"/>
              </w:rPr>
              <w:t xml:space="preserve">Firm </w:t>
            </w:r>
            <w:bookmarkEnd w:id="0"/>
            <w:r w:rsidR="00B3693F" w:rsidRPr="006A53D3">
              <w:rPr>
                <w:rFonts w:ascii="Tahoma" w:hAnsi="Tahoma" w:cs="Tahoma"/>
                <w:b/>
                <w:bCs/>
                <w:color w:val="FFFFFF"/>
              </w:rPr>
              <w:t>Mandatory Requirements</w:t>
            </w:r>
          </w:p>
        </w:tc>
        <w:tc>
          <w:tcPr>
            <w:tcW w:w="1287"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6A53D3" w:rsidRDefault="00FC0078" w:rsidP="0092152C">
            <w:pPr>
              <w:spacing w:after="0"/>
              <w:jc w:val="center"/>
              <w:rPr>
                <w:rFonts w:ascii="Tahoma" w:hAnsi="Tahoma" w:cs="Tahoma"/>
                <w:b/>
                <w:bCs/>
                <w:color w:val="FFFFFF"/>
              </w:rPr>
            </w:pPr>
            <w:r w:rsidRPr="006A53D3">
              <w:rPr>
                <w:rFonts w:ascii="Tahoma" w:hAnsi="Tahoma" w:cs="Tahoma"/>
                <w:b/>
                <w:bCs/>
                <w:color w:val="FFFFFF"/>
              </w:rPr>
              <w:t>Affirmation</w:t>
            </w:r>
          </w:p>
        </w:tc>
        <w:tc>
          <w:tcPr>
            <w:tcW w:w="6597"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6A53D3" w:rsidRDefault="00FC0078" w:rsidP="0092152C">
            <w:pPr>
              <w:spacing w:after="0"/>
              <w:jc w:val="center"/>
              <w:rPr>
                <w:rFonts w:ascii="Tahoma" w:hAnsi="Tahoma" w:cs="Tahoma"/>
                <w:b/>
                <w:bCs/>
                <w:color w:val="FFFFFF"/>
              </w:rPr>
            </w:pPr>
            <w:r w:rsidRPr="006A53D3">
              <w:rPr>
                <w:rFonts w:ascii="Tahoma" w:hAnsi="Tahoma" w:cs="Tahoma"/>
                <w:b/>
                <w:bCs/>
                <w:color w:val="FFFFFF"/>
              </w:rPr>
              <w:t>Supporting Documentation</w:t>
            </w:r>
          </w:p>
        </w:tc>
      </w:tr>
      <w:tr w:rsidR="00D16EFF" w:rsidRPr="006A53D3" w14:paraId="0F7A853C" w14:textId="77777777" w:rsidTr="00702CE2">
        <w:trPr>
          <w:trHeight w:val="255"/>
          <w:jc w:val="center"/>
        </w:trPr>
        <w:tc>
          <w:tcPr>
            <w:tcW w:w="549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6A53D3" w:rsidRDefault="00FC0078" w:rsidP="00FC0078">
            <w:pPr>
              <w:jc w:val="center"/>
              <w:rPr>
                <w:rFonts w:ascii="Tahoma" w:hAnsi="Tahoma" w:cs="Tahoma"/>
                <w:b/>
                <w:bCs/>
                <w:color w:val="000000"/>
              </w:rPr>
            </w:pPr>
          </w:p>
        </w:tc>
        <w:tc>
          <w:tcPr>
            <w:tcW w:w="1287"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6A53D3" w:rsidRDefault="00FC0078" w:rsidP="000137F3">
            <w:pPr>
              <w:spacing w:after="0" w:line="240" w:lineRule="auto"/>
              <w:contextualSpacing/>
              <w:jc w:val="center"/>
              <w:rPr>
                <w:rFonts w:ascii="Tahoma" w:hAnsi="Tahoma" w:cs="Tahoma"/>
                <w:b/>
                <w:bCs/>
                <w:color w:val="000000"/>
              </w:rPr>
            </w:pPr>
            <w:r w:rsidRPr="006A53D3">
              <w:rPr>
                <w:rFonts w:ascii="Tahoma" w:hAnsi="Tahoma" w:cs="Tahoma"/>
                <w:b/>
                <w:bCs/>
                <w:color w:val="000000"/>
              </w:rPr>
              <w:t>Yes / No</w:t>
            </w:r>
          </w:p>
        </w:tc>
        <w:tc>
          <w:tcPr>
            <w:tcW w:w="6597"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6A53D3" w:rsidRDefault="00FC0078" w:rsidP="000137F3">
            <w:pPr>
              <w:spacing w:after="0" w:line="240" w:lineRule="auto"/>
              <w:contextualSpacing/>
              <w:jc w:val="center"/>
              <w:rPr>
                <w:rFonts w:ascii="Tahoma" w:hAnsi="Tahoma" w:cs="Tahoma"/>
                <w:b/>
                <w:bCs/>
                <w:color w:val="000000"/>
              </w:rPr>
            </w:pPr>
            <w:r w:rsidRPr="006A53D3">
              <w:rPr>
                <w:rFonts w:ascii="Tahoma" w:hAnsi="Tahoma" w:cs="Tahoma"/>
                <w:b/>
                <w:bCs/>
                <w:color w:val="000000"/>
              </w:rPr>
              <w:t xml:space="preserve">Please </w:t>
            </w:r>
            <w:r w:rsidR="0063780A" w:rsidRPr="006A53D3">
              <w:rPr>
                <w:rFonts w:ascii="Tahoma" w:hAnsi="Tahoma" w:cs="Tahoma"/>
                <w:b/>
                <w:bCs/>
                <w:color w:val="000000"/>
              </w:rPr>
              <w:t>d</w:t>
            </w:r>
            <w:r w:rsidRPr="006A53D3">
              <w:rPr>
                <w:rFonts w:ascii="Tahoma" w:hAnsi="Tahoma" w:cs="Tahoma"/>
                <w:b/>
                <w:bCs/>
                <w:color w:val="000000"/>
              </w:rPr>
              <w:t xml:space="preserve">etail </w:t>
            </w:r>
            <w:r w:rsidR="0063780A" w:rsidRPr="006A53D3">
              <w:rPr>
                <w:rFonts w:ascii="Tahoma" w:hAnsi="Tahoma" w:cs="Tahoma"/>
                <w:b/>
                <w:bCs/>
                <w:color w:val="000000"/>
              </w:rPr>
              <w:t>how the qualification is met</w:t>
            </w:r>
          </w:p>
        </w:tc>
      </w:tr>
      <w:tr w:rsidR="00FC0078" w:rsidRPr="006A53D3" w14:paraId="03036DB0" w14:textId="77777777" w:rsidTr="00702CE2">
        <w:trPr>
          <w:trHeight w:val="240"/>
          <w:jc w:val="center"/>
        </w:trPr>
        <w:tc>
          <w:tcPr>
            <w:tcW w:w="1337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6A53D3" w:rsidRDefault="00FC0078">
            <w:pPr>
              <w:rPr>
                <w:rFonts w:ascii="Tahoma" w:hAnsi="Tahoma" w:cs="Tahoma"/>
                <w:color w:val="000000"/>
              </w:rPr>
            </w:pPr>
            <w:r w:rsidRPr="006A53D3">
              <w:rPr>
                <w:rFonts w:ascii="Tahoma" w:hAnsi="Tahoma" w:cs="Tahoma"/>
                <w:color w:val="000000"/>
              </w:rPr>
              <w:t>Qualification 1</w:t>
            </w:r>
          </w:p>
        </w:tc>
      </w:tr>
      <w:tr w:rsidR="00FC0078" w:rsidRPr="006A53D3" w14:paraId="425D586C" w14:textId="77777777" w:rsidTr="00702CE2">
        <w:trPr>
          <w:trHeight w:val="405"/>
          <w:jc w:val="center"/>
        </w:trPr>
        <w:tc>
          <w:tcPr>
            <w:tcW w:w="5490" w:type="dxa"/>
            <w:tcBorders>
              <w:top w:val="nil"/>
              <w:left w:val="single" w:sz="4" w:space="0" w:color="auto"/>
              <w:bottom w:val="nil"/>
              <w:right w:val="nil"/>
            </w:tcBorders>
            <w:shd w:val="clear" w:color="auto" w:fill="auto"/>
            <w:tcMar>
              <w:top w:w="15" w:type="dxa"/>
              <w:left w:w="15" w:type="dxa"/>
              <w:bottom w:w="0" w:type="dxa"/>
              <w:right w:w="15" w:type="dxa"/>
            </w:tcMar>
            <w:hideMark/>
          </w:tcPr>
          <w:p w14:paraId="3593B4A8" w14:textId="7786DA6D" w:rsidR="00FC0078" w:rsidRPr="006A53D3" w:rsidRDefault="00702CE2" w:rsidP="005A7C5F">
            <w:pPr>
              <w:pStyle w:val="ListParagraph"/>
              <w:spacing w:line="288" w:lineRule="auto"/>
              <w:ind w:left="170"/>
              <w:rPr>
                <w:rFonts w:ascii="Tahoma" w:hAnsi="Tahoma" w:cs="Tahoma"/>
              </w:rPr>
            </w:pPr>
            <w:r w:rsidRPr="006A53D3">
              <w:rPr>
                <w:rFonts w:ascii="Tahoma" w:hAnsi="Tahoma" w:cs="Tahoma"/>
              </w:rPr>
              <w:t xml:space="preserve">Investment Advisors must be currently registered as an Investment Advisor with the Securities and Exchange Commission and remain registered during the term of the contract. If required under New York Law, Investment Advisor must also be registered with the New York State Department of Law and remain registered during the term of the contract.  Investment Advisors must have completed, </w:t>
            </w:r>
            <w:proofErr w:type="gramStart"/>
            <w:r w:rsidRPr="006A53D3">
              <w:rPr>
                <w:rFonts w:ascii="Tahoma" w:hAnsi="Tahoma" w:cs="Tahoma"/>
              </w:rPr>
              <w:t>obtained</w:t>
            </w:r>
            <w:proofErr w:type="gramEnd"/>
            <w:r w:rsidRPr="006A53D3">
              <w:rPr>
                <w:rFonts w:ascii="Tahoma" w:hAnsi="Tahoma" w:cs="Tahoma"/>
              </w:rPr>
              <w:t xml:space="preserve"> and performed all registrations, examinations, approvals, authorizations, and consents required by any governmental authority for such engagements.</w:t>
            </w:r>
          </w:p>
        </w:tc>
        <w:tc>
          <w:tcPr>
            <w:tcW w:w="128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65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70BE2CE0" w14:textId="20D0CBB3" w:rsidTr="00702CE2">
        <w:trPr>
          <w:trHeight w:val="240"/>
          <w:jc w:val="center"/>
        </w:trPr>
        <w:tc>
          <w:tcPr>
            <w:tcW w:w="1337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tcPr>
          <w:p w14:paraId="1215FE01" w14:textId="0930664A" w:rsidR="00FC0078" w:rsidRPr="006A53D3" w:rsidRDefault="00FC0078">
            <w:pPr>
              <w:rPr>
                <w:rFonts w:ascii="Tahoma" w:hAnsi="Tahoma" w:cs="Tahoma"/>
                <w:color w:val="000000"/>
              </w:rPr>
            </w:pPr>
            <w:r w:rsidRPr="006A53D3">
              <w:rPr>
                <w:rFonts w:ascii="Tahoma" w:hAnsi="Tahoma" w:cs="Tahoma"/>
                <w:color w:val="000000"/>
              </w:rPr>
              <w:t>Qualification 2</w:t>
            </w:r>
          </w:p>
        </w:tc>
      </w:tr>
      <w:tr w:rsidR="00FC0078" w:rsidRPr="006A53D3" w14:paraId="3A0E306E" w14:textId="3C9DA6FD" w:rsidTr="00702CE2">
        <w:trPr>
          <w:trHeight w:val="203"/>
          <w:jc w:val="center"/>
        </w:trPr>
        <w:tc>
          <w:tcPr>
            <w:tcW w:w="5490" w:type="dxa"/>
            <w:vMerge w:val="restart"/>
            <w:tcBorders>
              <w:top w:val="nil"/>
              <w:left w:val="single" w:sz="4" w:space="0" w:color="auto"/>
              <w:bottom w:val="nil"/>
              <w:right w:val="nil"/>
            </w:tcBorders>
            <w:shd w:val="clear" w:color="auto" w:fill="auto"/>
            <w:tcMar>
              <w:top w:w="15" w:type="dxa"/>
              <w:left w:w="15" w:type="dxa"/>
              <w:bottom w:w="0" w:type="dxa"/>
              <w:right w:w="15" w:type="dxa"/>
            </w:tcMar>
          </w:tcPr>
          <w:p w14:paraId="65D4B0EC" w14:textId="77777777" w:rsidR="00702CE2" w:rsidRPr="006A53D3" w:rsidRDefault="00702CE2" w:rsidP="005A7C5F">
            <w:pPr>
              <w:pStyle w:val="ListParagraph"/>
              <w:spacing w:line="288" w:lineRule="auto"/>
              <w:ind w:left="170"/>
              <w:rPr>
                <w:rFonts w:ascii="Tahoma" w:hAnsi="Tahoma" w:cs="Tahoma"/>
              </w:rPr>
            </w:pPr>
            <w:r w:rsidRPr="006A53D3">
              <w:rPr>
                <w:rFonts w:ascii="Tahoma" w:hAnsi="Tahoma" w:cs="Tahoma"/>
              </w:rPr>
              <w:t>Investment Advisors are required to possess a minimum of three (3) years of experience in providing institutional investment advisory services. ERISA and non-ERISA experience will be considered.</w:t>
            </w:r>
          </w:p>
          <w:p w14:paraId="4ACC7646" w14:textId="598FA892" w:rsidR="00FC0078" w:rsidRPr="006A53D3" w:rsidRDefault="00FC0078">
            <w:pPr>
              <w:rPr>
                <w:rFonts w:ascii="Tahoma" w:hAnsi="Tahoma" w:cs="Tahoma"/>
                <w:color w:val="000000"/>
              </w:rPr>
            </w:pPr>
          </w:p>
        </w:tc>
        <w:tc>
          <w:tcPr>
            <w:tcW w:w="1287"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19BC6322" w:rsidR="00FC0078" w:rsidRPr="006A53D3" w:rsidRDefault="00FC0078">
            <w:pPr>
              <w:jc w:val="center"/>
              <w:rPr>
                <w:rFonts w:ascii="Tahoma" w:hAnsi="Tahoma" w:cs="Tahoma"/>
                <w:color w:val="006100"/>
              </w:rPr>
            </w:pPr>
            <w:r w:rsidRPr="006A53D3">
              <w:rPr>
                <w:rFonts w:ascii="Tahoma" w:hAnsi="Tahoma" w:cs="Tahoma"/>
                <w:color w:val="006100"/>
              </w:rPr>
              <w:t> </w:t>
            </w:r>
          </w:p>
        </w:tc>
        <w:tc>
          <w:tcPr>
            <w:tcW w:w="659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2D75615" w14:textId="6B33C872" w:rsidR="00FC0078" w:rsidRPr="006A53D3" w:rsidRDefault="00FC0078">
            <w:pPr>
              <w:rPr>
                <w:rFonts w:ascii="Tahoma" w:hAnsi="Tahoma" w:cs="Tahoma"/>
                <w:color w:val="006100"/>
              </w:rPr>
            </w:pPr>
            <w:r w:rsidRPr="006A53D3">
              <w:rPr>
                <w:rFonts w:ascii="Tahoma" w:hAnsi="Tahoma" w:cs="Tahoma"/>
                <w:color w:val="006100"/>
              </w:rPr>
              <w:t> </w:t>
            </w:r>
          </w:p>
        </w:tc>
      </w:tr>
      <w:tr w:rsidR="00FC0078" w:rsidRPr="006A53D3" w14:paraId="6A5D6376" w14:textId="18B4ED75" w:rsidTr="00702CE2">
        <w:trPr>
          <w:trHeight w:val="225"/>
          <w:jc w:val="center"/>
        </w:trPr>
        <w:tc>
          <w:tcPr>
            <w:tcW w:w="5490" w:type="dxa"/>
            <w:vMerge/>
            <w:tcBorders>
              <w:top w:val="nil"/>
              <w:left w:val="single" w:sz="4" w:space="0" w:color="auto"/>
              <w:bottom w:val="nil"/>
              <w:right w:val="nil"/>
            </w:tcBorders>
            <w:vAlign w:val="center"/>
          </w:tcPr>
          <w:p w14:paraId="4D64CCC5" w14:textId="071C0F35" w:rsidR="00FC0078" w:rsidRPr="006A53D3" w:rsidRDefault="00FC0078">
            <w:pPr>
              <w:rPr>
                <w:rFonts w:ascii="Tahoma" w:hAnsi="Tahoma" w:cs="Tahoma"/>
                <w:color w:val="000000"/>
              </w:rPr>
            </w:pPr>
          </w:p>
        </w:tc>
        <w:tc>
          <w:tcPr>
            <w:tcW w:w="1287" w:type="dxa"/>
            <w:vMerge/>
            <w:tcBorders>
              <w:top w:val="nil"/>
              <w:left w:val="single" w:sz="4" w:space="0" w:color="auto"/>
              <w:bottom w:val="nil"/>
              <w:right w:val="single" w:sz="4" w:space="0" w:color="auto"/>
            </w:tcBorders>
            <w:vAlign w:val="center"/>
            <w:hideMark/>
          </w:tcPr>
          <w:p w14:paraId="2F106F1E" w14:textId="5A8008D1" w:rsidR="00FC0078" w:rsidRPr="006A53D3" w:rsidRDefault="00FC0078">
            <w:pPr>
              <w:rPr>
                <w:rFonts w:ascii="Tahoma" w:hAnsi="Tahoma" w:cs="Tahoma"/>
                <w:color w:val="006100"/>
              </w:rPr>
            </w:pPr>
          </w:p>
        </w:tc>
        <w:tc>
          <w:tcPr>
            <w:tcW w:w="659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483ABAA" w14:textId="7CDF2C57" w:rsidR="00FC0078" w:rsidRPr="006A53D3" w:rsidRDefault="00FC0078">
            <w:pPr>
              <w:rPr>
                <w:rFonts w:ascii="Tahoma" w:hAnsi="Tahoma" w:cs="Tahoma"/>
                <w:color w:val="006100"/>
              </w:rPr>
            </w:pPr>
            <w:r w:rsidRPr="006A53D3">
              <w:rPr>
                <w:rFonts w:ascii="Tahoma" w:hAnsi="Tahoma" w:cs="Tahoma"/>
                <w:color w:val="006100"/>
              </w:rPr>
              <w:t> </w:t>
            </w:r>
          </w:p>
        </w:tc>
      </w:tr>
      <w:tr w:rsidR="00FC0078" w:rsidRPr="006A53D3" w14:paraId="5065EE17" w14:textId="77777777" w:rsidTr="00702CE2">
        <w:trPr>
          <w:trHeight w:val="240"/>
          <w:jc w:val="center"/>
        </w:trPr>
        <w:tc>
          <w:tcPr>
            <w:tcW w:w="1337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014AA071" w:rsidR="00FC0078" w:rsidRPr="006A53D3" w:rsidRDefault="00FC0078">
            <w:pPr>
              <w:rPr>
                <w:rFonts w:ascii="Tahoma" w:hAnsi="Tahoma" w:cs="Tahoma"/>
                <w:color w:val="000000"/>
              </w:rPr>
            </w:pPr>
            <w:r w:rsidRPr="006A53D3">
              <w:rPr>
                <w:rFonts w:ascii="Tahoma" w:hAnsi="Tahoma" w:cs="Tahoma"/>
                <w:color w:val="000000"/>
              </w:rPr>
              <w:t>Qualification 3</w:t>
            </w:r>
          </w:p>
        </w:tc>
      </w:tr>
      <w:tr w:rsidR="00FC0078" w:rsidRPr="006A53D3" w14:paraId="532FC9DB" w14:textId="77777777" w:rsidTr="00702CE2">
        <w:trPr>
          <w:trHeight w:val="482"/>
          <w:jc w:val="center"/>
        </w:trPr>
        <w:tc>
          <w:tcPr>
            <w:tcW w:w="5490"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16BB7A0" w14:textId="3F011547" w:rsidR="00702CE2" w:rsidRPr="006A53D3" w:rsidRDefault="00702CE2" w:rsidP="005A7C5F">
            <w:pPr>
              <w:pStyle w:val="ListParagraph"/>
              <w:spacing w:line="288" w:lineRule="auto"/>
              <w:ind w:left="170"/>
              <w:rPr>
                <w:rFonts w:ascii="Tahoma" w:hAnsi="Tahoma" w:cs="Tahoma"/>
              </w:rPr>
            </w:pPr>
            <w:r w:rsidRPr="006A53D3">
              <w:rPr>
                <w:rFonts w:ascii="Tahoma" w:hAnsi="Tahoma" w:cs="Tahoma"/>
              </w:rPr>
              <w:t xml:space="preserve">Investment Advisors must have at least $200 million of assets under advisement. </w:t>
            </w:r>
          </w:p>
        </w:tc>
        <w:tc>
          <w:tcPr>
            <w:tcW w:w="128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659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747E4DFF" w14:textId="77777777" w:rsidTr="00702CE2">
        <w:trPr>
          <w:trHeight w:val="450"/>
          <w:jc w:val="center"/>
        </w:trPr>
        <w:tc>
          <w:tcPr>
            <w:tcW w:w="5490" w:type="dxa"/>
            <w:vMerge/>
            <w:tcBorders>
              <w:top w:val="nil"/>
              <w:left w:val="single" w:sz="4" w:space="0" w:color="auto"/>
              <w:bottom w:val="single" w:sz="4" w:space="0" w:color="auto"/>
              <w:right w:val="nil"/>
            </w:tcBorders>
            <w:vAlign w:val="center"/>
            <w:hideMark/>
          </w:tcPr>
          <w:p w14:paraId="6B5FC261" w14:textId="77777777" w:rsidR="00FC0078" w:rsidRPr="006A53D3" w:rsidRDefault="00FC0078">
            <w:pPr>
              <w:rPr>
                <w:rFonts w:ascii="Tahoma" w:hAnsi="Tahoma" w:cs="Tahom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53B0EBB0" w14:textId="77777777" w:rsidR="00FC0078" w:rsidRPr="006A53D3" w:rsidRDefault="00FC0078">
            <w:pPr>
              <w:rPr>
                <w:rFonts w:ascii="Tahoma" w:hAnsi="Tahoma" w:cs="Tahoma"/>
                <w:color w:val="006100"/>
              </w:rPr>
            </w:pPr>
          </w:p>
        </w:tc>
        <w:tc>
          <w:tcPr>
            <w:tcW w:w="6597" w:type="dxa"/>
            <w:vMerge/>
            <w:tcBorders>
              <w:top w:val="nil"/>
              <w:left w:val="single" w:sz="4" w:space="0" w:color="auto"/>
              <w:bottom w:val="single" w:sz="4" w:space="0" w:color="auto"/>
              <w:right w:val="single" w:sz="4" w:space="0" w:color="auto"/>
            </w:tcBorders>
            <w:vAlign w:val="center"/>
            <w:hideMark/>
          </w:tcPr>
          <w:p w14:paraId="454EA0DE" w14:textId="77777777" w:rsidR="00FC0078" w:rsidRPr="006A53D3" w:rsidRDefault="00FC0078">
            <w:pPr>
              <w:rPr>
                <w:rFonts w:ascii="Tahoma" w:hAnsi="Tahoma" w:cs="Tahoma"/>
                <w:color w:val="006100"/>
              </w:rPr>
            </w:pPr>
          </w:p>
        </w:tc>
      </w:tr>
      <w:tr w:rsidR="00FC0078" w:rsidRPr="006A53D3" w14:paraId="16FE2D06" w14:textId="77777777" w:rsidTr="00702CE2">
        <w:trPr>
          <w:trHeight w:val="450"/>
          <w:jc w:val="center"/>
        </w:trPr>
        <w:tc>
          <w:tcPr>
            <w:tcW w:w="5490" w:type="dxa"/>
            <w:vMerge/>
            <w:tcBorders>
              <w:top w:val="nil"/>
              <w:left w:val="single" w:sz="4" w:space="0" w:color="auto"/>
              <w:bottom w:val="single" w:sz="4" w:space="0" w:color="auto"/>
              <w:right w:val="nil"/>
            </w:tcBorders>
            <w:vAlign w:val="center"/>
            <w:hideMark/>
          </w:tcPr>
          <w:p w14:paraId="2C831850" w14:textId="77777777" w:rsidR="00FC0078" w:rsidRPr="006A53D3" w:rsidRDefault="00FC0078">
            <w:pPr>
              <w:rPr>
                <w:rFonts w:ascii="Tahoma" w:hAnsi="Tahoma" w:cs="Tahom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3C488576" w14:textId="77777777" w:rsidR="00FC0078" w:rsidRPr="006A53D3" w:rsidRDefault="00FC0078">
            <w:pPr>
              <w:rPr>
                <w:rFonts w:ascii="Tahoma" w:hAnsi="Tahoma" w:cs="Tahoma"/>
                <w:color w:val="006100"/>
              </w:rPr>
            </w:pPr>
          </w:p>
        </w:tc>
        <w:tc>
          <w:tcPr>
            <w:tcW w:w="6597" w:type="dxa"/>
            <w:vMerge/>
            <w:tcBorders>
              <w:top w:val="nil"/>
              <w:left w:val="single" w:sz="4" w:space="0" w:color="auto"/>
              <w:bottom w:val="single" w:sz="4" w:space="0" w:color="auto"/>
              <w:right w:val="single" w:sz="4" w:space="0" w:color="auto"/>
            </w:tcBorders>
            <w:vAlign w:val="center"/>
            <w:hideMark/>
          </w:tcPr>
          <w:p w14:paraId="4534D5E3" w14:textId="77777777" w:rsidR="00FC0078" w:rsidRPr="006A53D3" w:rsidRDefault="00FC0078">
            <w:pPr>
              <w:rPr>
                <w:rFonts w:ascii="Tahoma" w:hAnsi="Tahoma" w:cs="Tahoma"/>
                <w:color w:val="006100"/>
              </w:rPr>
            </w:pPr>
          </w:p>
        </w:tc>
      </w:tr>
      <w:tr w:rsidR="00FC0078" w:rsidRPr="006A53D3" w14:paraId="3E45E9CB" w14:textId="77777777" w:rsidTr="00702CE2">
        <w:trPr>
          <w:trHeight w:val="240"/>
          <w:jc w:val="center"/>
        </w:trPr>
        <w:tc>
          <w:tcPr>
            <w:tcW w:w="1337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26F9B27E" w:rsidR="00FC0078" w:rsidRPr="006A53D3" w:rsidRDefault="00FC0078">
            <w:pPr>
              <w:rPr>
                <w:rFonts w:ascii="Tahoma" w:hAnsi="Tahoma" w:cs="Tahoma"/>
                <w:color w:val="000000"/>
              </w:rPr>
            </w:pPr>
            <w:r w:rsidRPr="006A53D3">
              <w:rPr>
                <w:rFonts w:ascii="Tahoma" w:hAnsi="Tahoma" w:cs="Tahoma"/>
                <w:color w:val="000000"/>
              </w:rPr>
              <w:lastRenderedPageBreak/>
              <w:t>Qualification 4</w:t>
            </w:r>
          </w:p>
        </w:tc>
      </w:tr>
      <w:tr w:rsidR="00FC0078" w:rsidRPr="006A53D3" w14:paraId="39D5712D" w14:textId="77777777" w:rsidTr="00702CE2">
        <w:trPr>
          <w:trHeight w:val="450"/>
          <w:jc w:val="center"/>
        </w:trPr>
        <w:tc>
          <w:tcPr>
            <w:tcW w:w="5490" w:type="dxa"/>
            <w:vMerge w:val="restart"/>
            <w:tcBorders>
              <w:top w:val="nil"/>
              <w:left w:val="single" w:sz="4" w:space="0" w:color="auto"/>
              <w:bottom w:val="nil"/>
              <w:right w:val="nil"/>
            </w:tcBorders>
            <w:shd w:val="clear" w:color="auto" w:fill="auto"/>
            <w:tcMar>
              <w:top w:w="15" w:type="dxa"/>
              <w:left w:w="15" w:type="dxa"/>
              <w:bottom w:w="0" w:type="dxa"/>
              <w:right w:w="15" w:type="dxa"/>
            </w:tcMar>
          </w:tcPr>
          <w:p w14:paraId="740D6A3D" w14:textId="77777777" w:rsidR="00702CE2" w:rsidRPr="006A53D3" w:rsidRDefault="00702CE2" w:rsidP="005A7C5F">
            <w:pPr>
              <w:pStyle w:val="ListParagraph"/>
              <w:spacing w:line="288" w:lineRule="auto"/>
              <w:ind w:left="170"/>
              <w:rPr>
                <w:rFonts w:ascii="Tahoma" w:hAnsi="Tahoma" w:cs="Tahoma"/>
              </w:rPr>
            </w:pPr>
            <w:r w:rsidRPr="006A53D3">
              <w:rPr>
                <w:rFonts w:ascii="Tahoma" w:hAnsi="Tahoma" w:cs="Tahoma"/>
              </w:rPr>
              <w:t xml:space="preserve">The investment consulting firm must agree to be a Fiduciary to the plan as that term is defined in New York state law. </w:t>
            </w:r>
          </w:p>
          <w:p w14:paraId="1B26F6A7" w14:textId="54EBAC26" w:rsidR="00FC0078" w:rsidRPr="006A53D3" w:rsidRDefault="00FC0078">
            <w:pPr>
              <w:rPr>
                <w:rFonts w:ascii="Tahoma" w:hAnsi="Tahoma" w:cs="Tahoma"/>
                <w:color w:val="000000"/>
              </w:rPr>
            </w:pPr>
          </w:p>
        </w:tc>
        <w:tc>
          <w:tcPr>
            <w:tcW w:w="1287"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6597"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1C617655" w14:textId="77777777" w:rsidTr="00702CE2">
        <w:trPr>
          <w:trHeight w:val="450"/>
          <w:jc w:val="center"/>
        </w:trPr>
        <w:tc>
          <w:tcPr>
            <w:tcW w:w="5490" w:type="dxa"/>
            <w:vMerge/>
            <w:tcBorders>
              <w:top w:val="nil"/>
              <w:left w:val="single" w:sz="4" w:space="0" w:color="auto"/>
              <w:bottom w:val="nil"/>
              <w:right w:val="nil"/>
            </w:tcBorders>
            <w:vAlign w:val="center"/>
            <w:hideMark/>
          </w:tcPr>
          <w:p w14:paraId="4C639F91" w14:textId="77777777" w:rsidR="00FC0078" w:rsidRPr="006A53D3" w:rsidRDefault="00FC0078">
            <w:pPr>
              <w:rPr>
                <w:rFonts w:ascii="Tahoma" w:hAnsi="Tahoma" w:cs="Tahoma"/>
                <w:color w:val="000000"/>
              </w:rPr>
            </w:pPr>
          </w:p>
        </w:tc>
        <w:tc>
          <w:tcPr>
            <w:tcW w:w="1287" w:type="dxa"/>
            <w:vMerge/>
            <w:tcBorders>
              <w:top w:val="nil"/>
              <w:left w:val="single" w:sz="4" w:space="0" w:color="auto"/>
              <w:bottom w:val="nil"/>
              <w:right w:val="nil"/>
            </w:tcBorders>
            <w:vAlign w:val="center"/>
            <w:hideMark/>
          </w:tcPr>
          <w:p w14:paraId="24ED5DD0" w14:textId="77777777" w:rsidR="00FC0078" w:rsidRPr="006A53D3" w:rsidRDefault="00FC0078">
            <w:pPr>
              <w:rPr>
                <w:rFonts w:ascii="Tahoma" w:hAnsi="Tahoma" w:cs="Tahoma"/>
                <w:color w:val="006100"/>
              </w:rPr>
            </w:pPr>
          </w:p>
        </w:tc>
        <w:tc>
          <w:tcPr>
            <w:tcW w:w="6597" w:type="dxa"/>
            <w:vMerge/>
            <w:tcBorders>
              <w:top w:val="nil"/>
              <w:left w:val="single" w:sz="4" w:space="0" w:color="auto"/>
              <w:bottom w:val="nil"/>
              <w:right w:val="single" w:sz="4" w:space="0" w:color="auto"/>
            </w:tcBorders>
            <w:vAlign w:val="center"/>
            <w:hideMark/>
          </w:tcPr>
          <w:p w14:paraId="4134A9C3" w14:textId="77777777" w:rsidR="00FC0078" w:rsidRPr="006A53D3" w:rsidRDefault="00FC0078">
            <w:pPr>
              <w:rPr>
                <w:rFonts w:ascii="Tahoma" w:hAnsi="Tahoma" w:cs="Tahoma"/>
                <w:color w:val="006100"/>
              </w:rPr>
            </w:pPr>
          </w:p>
        </w:tc>
      </w:tr>
      <w:tr w:rsidR="00FC0078" w:rsidRPr="006A53D3" w14:paraId="03958877" w14:textId="77777777" w:rsidTr="00702CE2">
        <w:trPr>
          <w:trHeight w:val="240"/>
          <w:jc w:val="center"/>
        </w:trPr>
        <w:tc>
          <w:tcPr>
            <w:tcW w:w="13374" w:type="dxa"/>
            <w:gridSpan w:val="3"/>
            <w:tcBorders>
              <w:top w:val="single" w:sz="4" w:space="0" w:color="auto"/>
              <w:left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2056235" w14:textId="04A0F97B" w:rsidR="00FC0078" w:rsidRPr="006A53D3" w:rsidRDefault="00FC0078">
            <w:pPr>
              <w:rPr>
                <w:rFonts w:ascii="Tahoma" w:hAnsi="Tahoma" w:cs="Tahoma"/>
                <w:color w:val="000000"/>
              </w:rPr>
            </w:pPr>
            <w:r w:rsidRPr="006A53D3">
              <w:rPr>
                <w:rFonts w:ascii="Tahoma" w:hAnsi="Tahoma" w:cs="Tahoma"/>
                <w:color w:val="000000"/>
              </w:rPr>
              <w:t>Qualification 5</w:t>
            </w:r>
          </w:p>
        </w:tc>
      </w:tr>
      <w:tr w:rsidR="00FC0078" w:rsidRPr="006A53D3" w14:paraId="34EB4918" w14:textId="77777777" w:rsidTr="00B84BAD">
        <w:trPr>
          <w:trHeight w:val="450"/>
          <w:jc w:val="center"/>
        </w:trPr>
        <w:tc>
          <w:tcPr>
            <w:tcW w:w="5490" w:type="dxa"/>
            <w:tcBorders>
              <w:top w:val="single" w:sz="4" w:space="0" w:color="auto"/>
              <w:left w:val="single" w:sz="4" w:space="0" w:color="auto"/>
              <w:bottom w:val="single" w:sz="4" w:space="0" w:color="auto"/>
              <w:right w:val="nil"/>
            </w:tcBorders>
            <w:vAlign w:val="center"/>
          </w:tcPr>
          <w:p w14:paraId="241AD25F" w14:textId="1C00BAC6" w:rsidR="00702CE2" w:rsidRPr="006A53D3" w:rsidRDefault="00702CE2" w:rsidP="005A7C5F">
            <w:pPr>
              <w:pStyle w:val="ListParagraph"/>
              <w:spacing w:line="288" w:lineRule="auto"/>
              <w:ind w:left="180"/>
              <w:rPr>
                <w:rFonts w:ascii="Tahoma" w:hAnsi="Tahoma" w:cs="Tahoma"/>
              </w:rPr>
            </w:pPr>
            <w:r w:rsidRPr="006A53D3">
              <w:rPr>
                <w:rFonts w:ascii="Tahoma" w:hAnsi="Tahoma" w:cs="Tahoma"/>
              </w:rPr>
              <w:t xml:space="preserve">The investment consulting firm must agree to disclose all conflicts of interest, all sources of revenue and all affiliations and continue to do so on an ongoing basis.  </w:t>
            </w:r>
          </w:p>
          <w:p w14:paraId="2FC38811" w14:textId="77777777" w:rsidR="00FC0078" w:rsidRPr="006A53D3" w:rsidRDefault="00FC0078">
            <w:pPr>
              <w:rPr>
                <w:rFonts w:ascii="Tahoma" w:hAnsi="Tahoma" w:cs="Tahoma"/>
                <w:color w:val="000000"/>
              </w:rPr>
            </w:pPr>
          </w:p>
        </w:tc>
        <w:tc>
          <w:tcPr>
            <w:tcW w:w="1287" w:type="dxa"/>
            <w:tcBorders>
              <w:top w:val="single" w:sz="4" w:space="0" w:color="auto"/>
              <w:left w:val="single" w:sz="4" w:space="0" w:color="auto"/>
              <w:bottom w:val="single" w:sz="4" w:space="0" w:color="auto"/>
              <w:right w:val="nil"/>
            </w:tcBorders>
            <w:vAlign w:val="center"/>
          </w:tcPr>
          <w:p w14:paraId="7B47B07D" w14:textId="77777777" w:rsidR="00FC0078" w:rsidRPr="006A53D3" w:rsidRDefault="00FC0078">
            <w:pPr>
              <w:rPr>
                <w:rFonts w:ascii="Tahoma" w:hAnsi="Tahoma" w:cs="Tahoma"/>
                <w:color w:val="006100"/>
              </w:rPr>
            </w:pPr>
          </w:p>
        </w:tc>
        <w:tc>
          <w:tcPr>
            <w:tcW w:w="6597" w:type="dxa"/>
            <w:tcBorders>
              <w:top w:val="single" w:sz="4" w:space="0" w:color="auto"/>
              <w:left w:val="single" w:sz="4" w:space="0" w:color="auto"/>
              <w:bottom w:val="single" w:sz="4" w:space="0" w:color="auto"/>
              <w:right w:val="single" w:sz="4" w:space="0" w:color="auto"/>
            </w:tcBorders>
            <w:vAlign w:val="center"/>
            <w:hideMark/>
          </w:tcPr>
          <w:p w14:paraId="084AB415" w14:textId="77777777" w:rsidR="00FC0078" w:rsidRPr="006A53D3" w:rsidRDefault="00FC0078">
            <w:pPr>
              <w:rPr>
                <w:rFonts w:ascii="Tahoma" w:hAnsi="Tahoma" w:cs="Tahoma"/>
                <w:color w:val="006100"/>
              </w:rPr>
            </w:pPr>
          </w:p>
        </w:tc>
      </w:tr>
      <w:tr w:rsidR="003D6190" w:rsidRPr="006A53D3" w14:paraId="485A3B33" w14:textId="77777777" w:rsidTr="003101D3">
        <w:trPr>
          <w:trHeight w:val="240"/>
          <w:jc w:val="center"/>
        </w:trPr>
        <w:tc>
          <w:tcPr>
            <w:tcW w:w="13374" w:type="dxa"/>
            <w:gridSpan w:val="3"/>
            <w:tcBorders>
              <w:top w:val="single" w:sz="4" w:space="0" w:color="auto"/>
              <w:left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7BCB7BD3" w14:textId="1F15C408" w:rsidR="003D6190" w:rsidRPr="006A53D3" w:rsidRDefault="003D6190" w:rsidP="003101D3">
            <w:pPr>
              <w:rPr>
                <w:rFonts w:ascii="Tahoma" w:hAnsi="Tahoma" w:cs="Tahoma"/>
                <w:color w:val="000000"/>
              </w:rPr>
            </w:pPr>
            <w:r w:rsidRPr="006A53D3">
              <w:rPr>
                <w:rFonts w:ascii="Tahoma" w:hAnsi="Tahoma" w:cs="Tahoma"/>
                <w:color w:val="000000"/>
              </w:rPr>
              <w:t xml:space="preserve">Qualification </w:t>
            </w:r>
            <w:r>
              <w:rPr>
                <w:rFonts w:ascii="Tahoma" w:hAnsi="Tahoma" w:cs="Tahoma"/>
                <w:color w:val="000000"/>
              </w:rPr>
              <w:t>6</w:t>
            </w:r>
          </w:p>
        </w:tc>
      </w:tr>
      <w:tr w:rsidR="003D6190" w:rsidRPr="006A53D3" w14:paraId="51CA57A8" w14:textId="77777777" w:rsidTr="003101D3">
        <w:trPr>
          <w:trHeight w:val="450"/>
          <w:jc w:val="center"/>
        </w:trPr>
        <w:tc>
          <w:tcPr>
            <w:tcW w:w="5490" w:type="dxa"/>
            <w:tcBorders>
              <w:top w:val="single" w:sz="4" w:space="0" w:color="auto"/>
              <w:left w:val="single" w:sz="4" w:space="0" w:color="auto"/>
              <w:bottom w:val="single" w:sz="4" w:space="0" w:color="auto"/>
              <w:right w:val="nil"/>
            </w:tcBorders>
            <w:vAlign w:val="center"/>
          </w:tcPr>
          <w:p w14:paraId="6EB4E9D7" w14:textId="757B9277" w:rsidR="003D6190" w:rsidRDefault="003D6190" w:rsidP="003D6190">
            <w:pPr>
              <w:autoSpaceDE w:val="0"/>
              <w:autoSpaceDN w:val="0"/>
              <w:spacing w:after="120"/>
              <w:jc w:val="center"/>
              <w:rPr>
                <w:rFonts w:ascii="Tahoma" w:hAnsi="Tahoma" w:cs="Tahoma"/>
                <w:sz w:val="24"/>
                <w:szCs w:val="24"/>
              </w:rPr>
            </w:pPr>
            <w:r>
              <w:rPr>
                <w:rFonts w:ascii="Tahoma" w:hAnsi="Tahoma" w:cs="Tahoma"/>
              </w:rPr>
              <w:t xml:space="preserve">The investment consulting firm must have a </w:t>
            </w:r>
            <w:r w:rsidRPr="003D6190">
              <w:rPr>
                <w:rFonts w:ascii="Tahoma" w:hAnsi="Tahoma" w:cs="Tahoma"/>
              </w:rPr>
              <w:t>Diversity and Inclusion Recruiting Program/Strategy in place</w:t>
            </w:r>
            <w:r>
              <w:rPr>
                <w:rFonts w:ascii="Tahoma" w:hAnsi="Tahoma" w:cs="Tahoma"/>
                <w:sz w:val="24"/>
                <w:szCs w:val="24"/>
              </w:rPr>
              <w:t>.</w:t>
            </w:r>
          </w:p>
          <w:p w14:paraId="489DDC95" w14:textId="6A703BD9" w:rsidR="003D6190" w:rsidRPr="006A53D3" w:rsidRDefault="003D6190" w:rsidP="003101D3">
            <w:pPr>
              <w:pStyle w:val="ListParagraph"/>
              <w:spacing w:line="288" w:lineRule="auto"/>
              <w:ind w:left="180"/>
              <w:rPr>
                <w:rFonts w:ascii="Tahoma" w:hAnsi="Tahoma" w:cs="Tahoma"/>
              </w:rPr>
            </w:pPr>
            <w:r w:rsidRPr="006A53D3">
              <w:rPr>
                <w:rFonts w:ascii="Tahoma" w:hAnsi="Tahoma" w:cs="Tahoma"/>
              </w:rPr>
              <w:t xml:space="preserve">  </w:t>
            </w:r>
          </w:p>
          <w:p w14:paraId="6B241DC9" w14:textId="77777777" w:rsidR="003D6190" w:rsidRPr="006A53D3" w:rsidRDefault="003D6190" w:rsidP="003101D3">
            <w:pPr>
              <w:rPr>
                <w:rFonts w:ascii="Tahoma" w:hAnsi="Tahoma" w:cs="Tahoma"/>
                <w:color w:val="000000"/>
              </w:rPr>
            </w:pPr>
          </w:p>
        </w:tc>
        <w:tc>
          <w:tcPr>
            <w:tcW w:w="1287" w:type="dxa"/>
            <w:tcBorders>
              <w:top w:val="single" w:sz="4" w:space="0" w:color="auto"/>
              <w:left w:val="single" w:sz="4" w:space="0" w:color="auto"/>
              <w:bottom w:val="single" w:sz="4" w:space="0" w:color="auto"/>
              <w:right w:val="nil"/>
            </w:tcBorders>
            <w:vAlign w:val="center"/>
          </w:tcPr>
          <w:p w14:paraId="6397AA2B" w14:textId="77777777" w:rsidR="003D6190" w:rsidRPr="006A53D3" w:rsidRDefault="003D6190" w:rsidP="003101D3">
            <w:pPr>
              <w:rPr>
                <w:rFonts w:ascii="Tahoma" w:hAnsi="Tahoma" w:cs="Tahoma"/>
                <w:color w:val="006100"/>
              </w:rPr>
            </w:pPr>
          </w:p>
        </w:tc>
        <w:tc>
          <w:tcPr>
            <w:tcW w:w="6597" w:type="dxa"/>
            <w:tcBorders>
              <w:top w:val="single" w:sz="4" w:space="0" w:color="auto"/>
              <w:left w:val="single" w:sz="4" w:space="0" w:color="auto"/>
              <w:bottom w:val="single" w:sz="4" w:space="0" w:color="auto"/>
              <w:right w:val="single" w:sz="4" w:space="0" w:color="auto"/>
            </w:tcBorders>
            <w:vAlign w:val="center"/>
            <w:hideMark/>
          </w:tcPr>
          <w:p w14:paraId="4C682117" w14:textId="77777777" w:rsidR="003D6190" w:rsidRPr="006A53D3" w:rsidRDefault="003D6190" w:rsidP="003101D3">
            <w:pPr>
              <w:rPr>
                <w:rFonts w:ascii="Tahoma" w:hAnsi="Tahoma" w:cs="Tahoma"/>
                <w:color w:val="006100"/>
              </w:rPr>
            </w:pPr>
          </w:p>
        </w:tc>
      </w:tr>
    </w:tbl>
    <w:p w14:paraId="29834A29" w14:textId="77777777" w:rsidR="007B7A1C" w:rsidRPr="003A7595" w:rsidRDefault="007B7A1C" w:rsidP="008E50EA">
      <w:pPr>
        <w:rPr>
          <w:rFonts w:ascii="Tahoma" w:hAnsi="Tahoma" w:cs="Tahoma"/>
        </w:rPr>
      </w:pPr>
    </w:p>
    <w:sectPr w:rsidR="007B7A1C" w:rsidRPr="003A7595" w:rsidSect="008E50EA">
      <w:footerReference w:type="default" r:id="rId11"/>
      <w:pgSz w:w="15840" w:h="12240" w:orient="landscape"/>
      <w:pgMar w:top="432"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378C" w14:textId="77777777" w:rsidR="008B56C5" w:rsidRDefault="008B56C5" w:rsidP="003A7595">
      <w:pPr>
        <w:spacing w:after="0" w:line="240" w:lineRule="auto"/>
      </w:pPr>
      <w:r>
        <w:separator/>
      </w:r>
    </w:p>
  </w:endnote>
  <w:endnote w:type="continuationSeparator" w:id="0">
    <w:p w14:paraId="5AE2001B" w14:textId="77777777" w:rsidR="008B56C5" w:rsidRDefault="008B56C5" w:rsidP="003A7595">
      <w:pPr>
        <w:spacing w:after="0" w:line="240" w:lineRule="auto"/>
      </w:pPr>
      <w:r>
        <w:continuationSeparator/>
      </w:r>
    </w:p>
  </w:endnote>
  <w:endnote w:type="continuationNotice" w:id="1">
    <w:p w14:paraId="278DC4EB" w14:textId="77777777" w:rsidR="008B56C5" w:rsidRDefault="008B5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68540"/>
      <w:docPartObj>
        <w:docPartGallery w:val="Page Numbers (Bottom of Page)"/>
        <w:docPartUnique/>
      </w:docPartObj>
    </w:sdtPr>
    <w:sdtEndPr/>
    <w:sdtContent>
      <w:sdt>
        <w:sdtPr>
          <w:id w:val="1728636285"/>
          <w:docPartObj>
            <w:docPartGallery w:val="Page Numbers (Top of Page)"/>
            <w:docPartUnique/>
          </w:docPartObj>
        </w:sdtPr>
        <w:sdtEndPr/>
        <w:sdtContent>
          <w:p w14:paraId="31CBEECD" w14:textId="2C472CE8" w:rsidR="006A53D3" w:rsidRDefault="006A53D3">
            <w:pPr>
              <w:pStyle w:val="Footer"/>
              <w:jc w:val="center"/>
            </w:pPr>
            <w:r w:rsidRPr="006A53D3">
              <w:rPr>
                <w:rFonts w:ascii="Tahoma" w:hAnsi="Tahoma" w:cs="Tahoma"/>
              </w:rPr>
              <w:t xml:space="preserve">Page </w:t>
            </w:r>
            <w:r w:rsidRPr="006A53D3">
              <w:rPr>
                <w:rFonts w:ascii="Tahoma" w:hAnsi="Tahoma" w:cs="Tahoma"/>
                <w:b/>
                <w:bCs/>
                <w:sz w:val="24"/>
                <w:szCs w:val="24"/>
              </w:rPr>
              <w:fldChar w:fldCharType="begin"/>
            </w:r>
            <w:r w:rsidRPr="006A53D3">
              <w:rPr>
                <w:rFonts w:ascii="Tahoma" w:hAnsi="Tahoma" w:cs="Tahoma"/>
                <w:b/>
                <w:bCs/>
              </w:rPr>
              <w:instrText xml:space="preserve"> PAGE </w:instrText>
            </w:r>
            <w:r w:rsidRPr="006A53D3">
              <w:rPr>
                <w:rFonts w:ascii="Tahoma" w:hAnsi="Tahoma" w:cs="Tahoma"/>
                <w:b/>
                <w:bCs/>
                <w:sz w:val="24"/>
                <w:szCs w:val="24"/>
              </w:rPr>
              <w:fldChar w:fldCharType="separate"/>
            </w:r>
            <w:r w:rsidRPr="006A53D3">
              <w:rPr>
                <w:rFonts w:ascii="Tahoma" w:hAnsi="Tahoma" w:cs="Tahoma"/>
                <w:b/>
                <w:bCs/>
                <w:noProof/>
              </w:rPr>
              <w:t>2</w:t>
            </w:r>
            <w:r w:rsidRPr="006A53D3">
              <w:rPr>
                <w:rFonts w:ascii="Tahoma" w:hAnsi="Tahoma" w:cs="Tahoma"/>
                <w:b/>
                <w:bCs/>
                <w:sz w:val="24"/>
                <w:szCs w:val="24"/>
              </w:rPr>
              <w:fldChar w:fldCharType="end"/>
            </w:r>
            <w:r w:rsidRPr="006A53D3">
              <w:rPr>
                <w:rFonts w:ascii="Tahoma" w:hAnsi="Tahoma" w:cs="Tahoma"/>
              </w:rPr>
              <w:t xml:space="preserve"> of </w:t>
            </w:r>
            <w:r w:rsidRPr="006A53D3">
              <w:rPr>
                <w:rFonts w:ascii="Tahoma" w:hAnsi="Tahoma" w:cs="Tahoma"/>
                <w:b/>
                <w:bCs/>
                <w:sz w:val="24"/>
                <w:szCs w:val="24"/>
              </w:rPr>
              <w:fldChar w:fldCharType="begin"/>
            </w:r>
            <w:r w:rsidRPr="006A53D3">
              <w:rPr>
                <w:rFonts w:ascii="Tahoma" w:hAnsi="Tahoma" w:cs="Tahoma"/>
                <w:b/>
                <w:bCs/>
              </w:rPr>
              <w:instrText xml:space="preserve"> NUMPAGES  </w:instrText>
            </w:r>
            <w:r w:rsidRPr="006A53D3">
              <w:rPr>
                <w:rFonts w:ascii="Tahoma" w:hAnsi="Tahoma" w:cs="Tahoma"/>
                <w:b/>
                <w:bCs/>
                <w:sz w:val="24"/>
                <w:szCs w:val="24"/>
              </w:rPr>
              <w:fldChar w:fldCharType="separate"/>
            </w:r>
            <w:r w:rsidRPr="006A53D3">
              <w:rPr>
                <w:rFonts w:ascii="Tahoma" w:hAnsi="Tahoma" w:cs="Tahoma"/>
                <w:b/>
                <w:bCs/>
                <w:noProof/>
              </w:rPr>
              <w:t>2</w:t>
            </w:r>
            <w:r w:rsidRPr="006A53D3">
              <w:rPr>
                <w:rFonts w:ascii="Tahoma" w:hAnsi="Tahoma" w:cs="Tahoma"/>
                <w:b/>
                <w:bCs/>
                <w:sz w:val="24"/>
                <w:szCs w:val="24"/>
              </w:rPr>
              <w:fldChar w:fldCharType="end"/>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174D" w14:textId="77777777" w:rsidR="008B56C5" w:rsidRDefault="008B56C5" w:rsidP="003A7595">
      <w:pPr>
        <w:spacing w:after="0" w:line="240" w:lineRule="auto"/>
      </w:pPr>
      <w:r>
        <w:separator/>
      </w:r>
    </w:p>
  </w:footnote>
  <w:footnote w:type="continuationSeparator" w:id="0">
    <w:p w14:paraId="782710A1" w14:textId="77777777" w:rsidR="008B56C5" w:rsidRDefault="008B56C5" w:rsidP="003A7595">
      <w:pPr>
        <w:spacing w:after="0" w:line="240" w:lineRule="auto"/>
      </w:pPr>
      <w:r>
        <w:continuationSeparator/>
      </w:r>
    </w:p>
  </w:footnote>
  <w:footnote w:type="continuationNotice" w:id="1">
    <w:p w14:paraId="13CEF6DE" w14:textId="77777777" w:rsidR="008B56C5" w:rsidRDefault="008B56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4CF0"/>
    <w:multiLevelType w:val="hybridMultilevel"/>
    <w:tmpl w:val="36BE8C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072830"/>
    <w:rsid w:val="00186FFA"/>
    <w:rsid w:val="001B1657"/>
    <w:rsid w:val="001B3E07"/>
    <w:rsid w:val="00201DEE"/>
    <w:rsid w:val="00294016"/>
    <w:rsid w:val="00310A99"/>
    <w:rsid w:val="00316FB7"/>
    <w:rsid w:val="003342FF"/>
    <w:rsid w:val="003A7595"/>
    <w:rsid w:val="003C0D89"/>
    <w:rsid w:val="003C437D"/>
    <w:rsid w:val="003C5031"/>
    <w:rsid w:val="003D6190"/>
    <w:rsid w:val="00400094"/>
    <w:rsid w:val="00415A6B"/>
    <w:rsid w:val="00455173"/>
    <w:rsid w:val="00457D88"/>
    <w:rsid w:val="00465D40"/>
    <w:rsid w:val="00492026"/>
    <w:rsid w:val="0049771F"/>
    <w:rsid w:val="004A284A"/>
    <w:rsid w:val="004C46E7"/>
    <w:rsid w:val="0053295F"/>
    <w:rsid w:val="005534A0"/>
    <w:rsid w:val="005A7C5F"/>
    <w:rsid w:val="006364B1"/>
    <w:rsid w:val="0063780A"/>
    <w:rsid w:val="00644AD2"/>
    <w:rsid w:val="00665549"/>
    <w:rsid w:val="006673A6"/>
    <w:rsid w:val="00675829"/>
    <w:rsid w:val="006A53D3"/>
    <w:rsid w:val="006B0204"/>
    <w:rsid w:val="006B1424"/>
    <w:rsid w:val="006C6DFE"/>
    <w:rsid w:val="006D6884"/>
    <w:rsid w:val="006E3091"/>
    <w:rsid w:val="00702CE2"/>
    <w:rsid w:val="00704AA6"/>
    <w:rsid w:val="00745F18"/>
    <w:rsid w:val="007B7A1C"/>
    <w:rsid w:val="007E5EEC"/>
    <w:rsid w:val="007F11AD"/>
    <w:rsid w:val="007F2668"/>
    <w:rsid w:val="008064F0"/>
    <w:rsid w:val="008161B1"/>
    <w:rsid w:val="0083749E"/>
    <w:rsid w:val="00852A30"/>
    <w:rsid w:val="008B56C5"/>
    <w:rsid w:val="008C0DD5"/>
    <w:rsid w:val="008E50EA"/>
    <w:rsid w:val="0092152C"/>
    <w:rsid w:val="0092436F"/>
    <w:rsid w:val="009811A6"/>
    <w:rsid w:val="009950E8"/>
    <w:rsid w:val="00995170"/>
    <w:rsid w:val="009C2110"/>
    <w:rsid w:val="009D0308"/>
    <w:rsid w:val="009D6923"/>
    <w:rsid w:val="00A12EA3"/>
    <w:rsid w:val="00A16B94"/>
    <w:rsid w:val="00A72F9D"/>
    <w:rsid w:val="00A8439C"/>
    <w:rsid w:val="00AB2D96"/>
    <w:rsid w:val="00AC10E2"/>
    <w:rsid w:val="00AC1BDE"/>
    <w:rsid w:val="00B3693F"/>
    <w:rsid w:val="00B44992"/>
    <w:rsid w:val="00B76C5F"/>
    <w:rsid w:val="00B84BAD"/>
    <w:rsid w:val="00B90141"/>
    <w:rsid w:val="00BA765C"/>
    <w:rsid w:val="00BC02C6"/>
    <w:rsid w:val="00BD0BE2"/>
    <w:rsid w:val="00BD0CF5"/>
    <w:rsid w:val="00C10DE3"/>
    <w:rsid w:val="00C230F8"/>
    <w:rsid w:val="00C25B7B"/>
    <w:rsid w:val="00C44960"/>
    <w:rsid w:val="00C4561B"/>
    <w:rsid w:val="00CB7C7F"/>
    <w:rsid w:val="00CF66E9"/>
    <w:rsid w:val="00D017A1"/>
    <w:rsid w:val="00D02FEE"/>
    <w:rsid w:val="00D16EFF"/>
    <w:rsid w:val="00D26913"/>
    <w:rsid w:val="00D47B0E"/>
    <w:rsid w:val="00D5674A"/>
    <w:rsid w:val="00D75AE1"/>
    <w:rsid w:val="00DB248E"/>
    <w:rsid w:val="00E21D22"/>
    <w:rsid w:val="00E80B41"/>
    <w:rsid w:val="00F27881"/>
    <w:rsid w:val="00F3338F"/>
    <w:rsid w:val="00F4621C"/>
    <w:rsid w:val="00F8543D"/>
    <w:rsid w:val="00F9470D"/>
    <w:rsid w:val="00FA2875"/>
    <w:rsid w:val="00FC0078"/>
    <w:rsid w:val="00FF4992"/>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EDF370DC-A3E8-49EA-B7FA-A4312412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NormalWeb">
    <w:name w:val="Normal (Web)"/>
    <w:basedOn w:val="Normal"/>
    <w:uiPriority w:val="99"/>
    <w:unhideWhenUsed/>
    <w:rsid w:val="00F333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BAD"/>
    <w:pPr>
      <w:ind w:left="720"/>
      <w:contextualSpacing/>
    </w:pPr>
  </w:style>
  <w:style w:type="character" w:styleId="CommentReference">
    <w:name w:val="annotation reference"/>
    <w:basedOn w:val="DefaultParagraphFont"/>
    <w:uiPriority w:val="99"/>
    <w:semiHidden/>
    <w:unhideWhenUsed/>
    <w:rsid w:val="004A284A"/>
    <w:rPr>
      <w:sz w:val="16"/>
      <w:szCs w:val="16"/>
    </w:rPr>
  </w:style>
  <w:style w:type="paragraph" w:styleId="CommentText">
    <w:name w:val="annotation text"/>
    <w:basedOn w:val="Normal"/>
    <w:link w:val="CommentTextChar"/>
    <w:uiPriority w:val="99"/>
    <w:semiHidden/>
    <w:unhideWhenUsed/>
    <w:rsid w:val="004A284A"/>
    <w:pPr>
      <w:spacing w:line="240" w:lineRule="auto"/>
    </w:pPr>
    <w:rPr>
      <w:sz w:val="20"/>
      <w:szCs w:val="20"/>
    </w:rPr>
  </w:style>
  <w:style w:type="character" w:customStyle="1" w:styleId="CommentTextChar">
    <w:name w:val="Comment Text Char"/>
    <w:basedOn w:val="DefaultParagraphFont"/>
    <w:link w:val="CommentText"/>
    <w:uiPriority w:val="99"/>
    <w:semiHidden/>
    <w:rsid w:val="004A284A"/>
    <w:rPr>
      <w:sz w:val="20"/>
      <w:szCs w:val="20"/>
    </w:rPr>
  </w:style>
  <w:style w:type="paragraph" w:styleId="CommentSubject">
    <w:name w:val="annotation subject"/>
    <w:basedOn w:val="CommentText"/>
    <w:next w:val="CommentText"/>
    <w:link w:val="CommentSubjectChar"/>
    <w:uiPriority w:val="99"/>
    <w:semiHidden/>
    <w:unhideWhenUsed/>
    <w:rsid w:val="004A284A"/>
    <w:rPr>
      <w:b/>
      <w:bCs/>
    </w:rPr>
  </w:style>
  <w:style w:type="character" w:customStyle="1" w:styleId="CommentSubjectChar">
    <w:name w:val="Comment Subject Char"/>
    <w:basedOn w:val="CommentTextChar"/>
    <w:link w:val="CommentSubject"/>
    <w:uiPriority w:val="99"/>
    <w:semiHidden/>
    <w:rsid w:val="004A2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012">
      <w:bodyDiv w:val="1"/>
      <w:marLeft w:val="0"/>
      <w:marRight w:val="0"/>
      <w:marTop w:val="0"/>
      <w:marBottom w:val="0"/>
      <w:divBdr>
        <w:top w:val="none" w:sz="0" w:space="0" w:color="auto"/>
        <w:left w:val="none" w:sz="0" w:space="0" w:color="auto"/>
        <w:bottom w:val="none" w:sz="0" w:space="0" w:color="auto"/>
        <w:right w:val="none" w:sz="0" w:space="0" w:color="auto"/>
      </w:divBdr>
    </w:div>
    <w:div w:id="1054282166">
      <w:bodyDiv w:val="1"/>
      <w:marLeft w:val="0"/>
      <w:marRight w:val="0"/>
      <w:marTop w:val="0"/>
      <w:marBottom w:val="0"/>
      <w:divBdr>
        <w:top w:val="none" w:sz="0" w:space="0" w:color="auto"/>
        <w:left w:val="none" w:sz="0" w:space="0" w:color="auto"/>
        <w:bottom w:val="none" w:sz="0" w:space="0" w:color="auto"/>
        <w:right w:val="none" w:sz="0" w:space="0" w:color="auto"/>
      </w:divBdr>
      <w:divsChild>
        <w:div w:id="338504215">
          <w:marLeft w:val="0"/>
          <w:marRight w:val="0"/>
          <w:marTop w:val="0"/>
          <w:marBottom w:val="120"/>
          <w:divBdr>
            <w:top w:val="none" w:sz="0" w:space="0" w:color="auto"/>
            <w:left w:val="none" w:sz="0" w:space="0" w:color="auto"/>
            <w:bottom w:val="none" w:sz="0" w:space="0" w:color="auto"/>
            <w:right w:val="none" w:sz="0" w:space="0" w:color="auto"/>
          </w:divBdr>
          <w:divsChild>
            <w:div w:id="376509669">
              <w:marLeft w:val="0"/>
              <w:marRight w:val="0"/>
              <w:marTop w:val="0"/>
              <w:marBottom w:val="0"/>
              <w:divBdr>
                <w:top w:val="none" w:sz="0" w:space="0" w:color="auto"/>
                <w:left w:val="none" w:sz="0" w:space="0" w:color="auto"/>
                <w:bottom w:val="none" w:sz="0" w:space="0" w:color="auto"/>
                <w:right w:val="none" w:sz="0" w:space="0" w:color="auto"/>
              </w:divBdr>
            </w:div>
          </w:divsChild>
        </w:div>
        <w:div w:id="1309016735">
          <w:marLeft w:val="0"/>
          <w:marRight w:val="0"/>
          <w:marTop w:val="0"/>
          <w:marBottom w:val="120"/>
          <w:divBdr>
            <w:top w:val="none" w:sz="0" w:space="0" w:color="auto"/>
            <w:left w:val="none" w:sz="0" w:space="0" w:color="auto"/>
            <w:bottom w:val="none" w:sz="0" w:space="0" w:color="auto"/>
            <w:right w:val="none" w:sz="0" w:space="0" w:color="auto"/>
          </w:divBdr>
          <w:divsChild>
            <w:div w:id="114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610">
      <w:bodyDiv w:val="1"/>
      <w:marLeft w:val="0"/>
      <w:marRight w:val="0"/>
      <w:marTop w:val="0"/>
      <w:marBottom w:val="0"/>
      <w:divBdr>
        <w:top w:val="none" w:sz="0" w:space="0" w:color="auto"/>
        <w:left w:val="none" w:sz="0" w:space="0" w:color="auto"/>
        <w:bottom w:val="none" w:sz="0" w:space="0" w:color="auto"/>
        <w:right w:val="none" w:sz="0" w:space="0" w:color="auto"/>
      </w:divBdr>
    </w:div>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 w:id="1914657290">
      <w:bodyDiv w:val="1"/>
      <w:marLeft w:val="0"/>
      <w:marRight w:val="0"/>
      <w:marTop w:val="0"/>
      <w:marBottom w:val="0"/>
      <w:divBdr>
        <w:top w:val="none" w:sz="0" w:space="0" w:color="auto"/>
        <w:left w:val="none" w:sz="0" w:space="0" w:color="auto"/>
        <w:bottom w:val="none" w:sz="0" w:space="0" w:color="auto"/>
        <w:right w:val="none" w:sz="0" w:space="0" w:color="auto"/>
      </w:divBdr>
      <w:divsChild>
        <w:div w:id="152444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customXml/itemProps2.xml><?xml version="1.0" encoding="utf-8"?>
<ds:datastoreItem xmlns:ds="http://schemas.openxmlformats.org/officeDocument/2006/customXml" ds:itemID="{7E7D860C-6ADD-43FC-917C-84E7ACD6C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9A06F-FC4F-444E-B805-F568EBA5244D}">
  <ds:schemaRefs>
    <ds:schemaRef ds:uri="http://schemas.microsoft.com/sharepoint/v3/contenttype/forms"/>
  </ds:schemaRefs>
</ds:datastoreItem>
</file>

<file path=customXml/itemProps4.xml><?xml version="1.0" encoding="utf-8"?>
<ds:datastoreItem xmlns:ds="http://schemas.openxmlformats.org/officeDocument/2006/customXml" ds:itemID="{B4F6A4F7-B5C0-4297-A015-90DB92F57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Alexandria Romano</cp:lastModifiedBy>
  <cp:revision>2</cp:revision>
  <dcterms:created xsi:type="dcterms:W3CDTF">2022-02-25T20:33:00Z</dcterms:created>
  <dcterms:modified xsi:type="dcterms:W3CDTF">2022-02-25T20:33:00Z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